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D55C8" w14:textId="1A51161A" w:rsidR="006A435F" w:rsidRDefault="006A435F" w:rsidP="0004635F">
      <w:pPr>
        <w:pStyle w:val="Title"/>
        <w:jc w:val="center"/>
      </w:pPr>
      <w:r w:rsidRPr="006A435F">
        <w:t xml:space="preserve">A Data-Driven Approach </w:t>
      </w:r>
      <w:r>
        <w:t xml:space="preserve">to </w:t>
      </w:r>
      <w:r w:rsidRPr="006A435F">
        <w:t>Optimiz</w:t>
      </w:r>
      <w:r>
        <w:t>e</w:t>
      </w:r>
      <w:r w:rsidRPr="006A435F">
        <w:t xml:space="preserve"> Vaccine Allocation</w:t>
      </w:r>
      <w:r>
        <w:t xml:space="preserve"> for </w:t>
      </w:r>
      <w:r w:rsidRPr="006A435F">
        <w:t>Fostering Equity and Efficiency</w:t>
      </w:r>
    </w:p>
    <w:p w14:paraId="72E5FC1F" w14:textId="77777777" w:rsidR="006A435F" w:rsidRDefault="006A435F" w:rsidP="00860F5E"/>
    <w:p w14:paraId="47D7E874" w14:textId="0B9EE45A" w:rsidR="004D588D" w:rsidRPr="00B95CFE" w:rsidRDefault="004D588D" w:rsidP="00860F5E">
      <w:r w:rsidRPr="00B95CFE">
        <w:t>Abstract:</w:t>
      </w:r>
    </w:p>
    <w:p w14:paraId="424E9926" w14:textId="32080E14" w:rsidR="00F43BBD" w:rsidRPr="00530683" w:rsidRDefault="00F43BBD" w:rsidP="00860F5E">
      <w:r w:rsidRPr="00530683">
        <w:t>The COVID-19 pandemic has presented significant challenges in the management of the vaccine supply chain, prompting researchers to investigate the difficulties associated with vaccine distribution. In this research, we present the detailed operations of vaccine distribution in the United States and the challenges that officials faced in fairly and efficiently allocating vaccines to each state in its early stages. We then present an analytical methodology to overcome these challenges. We analyze different equity theories as an alternative to the status quo of pro rata policy and present findings in the context of a case study. The results can help officials make fast, fair, and efficient decisions during future pandemics and natural disasters when scarce vaccines and supplies need to be allocated to different regions. In our model, we consider the vulnerability and vaccine hesitancy among the populations of different regions, as well as the limited capacity of vaccine administration in each region.</w:t>
      </w:r>
    </w:p>
    <w:p w14:paraId="39D42572" w14:textId="77777777" w:rsidR="002850F7" w:rsidRPr="00787197" w:rsidRDefault="002850F7" w:rsidP="00860F5E">
      <w:pPr>
        <w:pStyle w:val="Heading1"/>
      </w:pPr>
      <w:r w:rsidRPr="00787197">
        <w:t>Introduction</w:t>
      </w:r>
    </w:p>
    <w:p w14:paraId="0777F91E" w14:textId="237D1625" w:rsidR="002850F7" w:rsidRDefault="002850F7" w:rsidP="007F24E2">
      <w:r w:rsidRPr="00E4541D">
        <w:t xml:space="preserve">Despite the abundance of scientific evidence regarding the safety and effectiveness of vaccines, vaccine hesitancy causes individuals to refuse vaccines. This hesitancy is not exclusive to the COVID-19 vaccine but is also prevalent in other infectious diseases </w:t>
      </w:r>
      <w:r w:rsidRPr="00E4541D">
        <w:fldChar w:fldCharType="begin" w:fldLock="1"/>
      </w:r>
      <w:r w:rsidR="00317095">
        <w:instrText>ADDIN CSL_CITATION {"citationItems":[{"id":"ITEM-1","itemData":{"author":[{"dropping-particle":"","family":"Beleche","given":"Trinidad","non-dropping-particle":"","parse-names":false,"suffix":""},{"dropping-particle":"","family":"Ruhter","given":"Joel","non-dropping-particle":"","parse-names":false,"suffix":""},{"dropping-particle":"","family":"Kolbe","given":"Allison","non-dropping-particle":"","parse-names":false,"suffix":""},{"dropping-particle":"","family":"Marus","given":"Jessica","non-dropping-particle":"","parse-names":false,"suffix":""},{"dropping-particle":"","family":"Bush","given":"Laina","non-dropping-particle":"","parse-names":false,"suffix":""},{"dropping-particle":"","family":"Sommers","given":"Benjamin","non-dropping-particle":"","parse-names":false,"suffix":""}],"container-title":"Published online","id":"ITEM-1","issued":{"date-parts":[["2021"]]},"title":"COVID-19 vaccine hesitancy: demographic factors, geographic patterns, and changes over time","type":"article-journal","volume":"27"},"uris":["http://www.mendeley.com/documents/?uuid=6b52ca9f-234d-4511-bde7-a9a19aaa132e"]},{"id":"ITEM-2","itemData":{"DOI":"10.1016/j.vaccine.2015.09.035","ISSN":"18732518","PMID":"26615171","abstract":"Vaccine hesitancy reflects concerns about the decision to vaccinate oneself or one's children. There is a broad range of factors contributing to vaccine hesitancy, including the compulsory nature of vaccines, their coincidental temporal relationships to adverse health outcomes, unfamiliarity with vaccine-preventable diseases, and lack of trust in corporations and public health agencies. Although vaccination is a norm in the U.S. and the majority of parents vaccinate their children, many do so amid concerns. The proportion of parents claiming non-medical exemptions to school immunization requirements has been increasing over the past decade. Vaccine refusal has been associated with outbreaks of invasive Haemophilus influenzae type b disease, varicella, pneumococcal disease, measles, and pertussis, resulting in the unnecessary suffering of young children and waste of limited public health resources. Vaccine hesitancy is an extremely important issue that needs to be addressed because effective control of vaccine-preventable diseases generally requires indefinite maintenance of extremely high rates of timely vaccination. The multifactorial and complex causes of vaccine hesitancy require a broad range of approaches on the individual, provider, health system, and national levels. These include standardized measurement tools to quantify and locate clustering of vaccine hesitancy and better understand issues of trust; rapid, independent, and transparent review of an enhanced and appropriately funded vaccine safety system; adequate reimbursement for vaccine risk communication in doctors' offices; and individually tailored messages for parents who have vaccine concerns, especially first-time pregnant women. The potential of vaccines to prevent illness and save lives has never been greater. Yet, that potential is directly dependent on parental acceptance of vaccines, which requires confidence in vaccines, healthcare providers who recommend and administer vaccines, and the systems to make sure vaccines are safe.","author":[{"dropping-particle":"","family":"Salmon","given":"Daniel A.","non-dropping-particle":"","parse-names":false,"suffix":""},{"dropping-particle":"","family":"Dudley","given":"Matthew Z.","non-dropping-particle":"","parse-names":false,"suffix":""},{"dropping-particle":"","family":"Glanz","given":"Jason M.","non-dropping-particle":"","parse-names":false,"suffix":""},{"dropping-particle":"","family":"Omer","given":"Saad B.","non-dropping-particle":"","parse-names":false,"suffix":""}],"container-title":"Vaccine","id":"ITEM-2","issued":{"date-parts":[["2015"]]},"page":"D66-D71","publisher":"Elsevier Ltd","title":"Vaccine hesitancy: Causes, consequences, and a call to action","type":"article-journal","volume":"33"},"uris":["http://www.mendeley.com/documents/?uuid=fa963a8c-1a7c-4e58-a83e-621d6b111da2"]}],"mendeley":{"formattedCitation":"(Beleche et al., 2021; Salmon et al., 2015)","plainTextFormattedCitation":"(Beleche et al., 2021; Salmon et al., 2015)","previouslyFormattedCitation":"(Beleche et al., 2021; Salmon et al., 2015)"},"properties":{"noteIndex":0},"schema":"https://github.com/citation-style-language/schema/raw/master/csl-citation.json"}</w:instrText>
      </w:r>
      <w:r w:rsidRPr="00E4541D">
        <w:fldChar w:fldCharType="separate"/>
      </w:r>
      <w:r w:rsidR="008D2835" w:rsidRPr="008D2835">
        <w:rPr>
          <w:noProof/>
        </w:rPr>
        <w:t>(Beleche et al., 2021; Salmon et al., 2015)</w:t>
      </w:r>
      <w:r w:rsidRPr="00E4541D">
        <w:fldChar w:fldCharType="end"/>
      </w:r>
      <w:r w:rsidRPr="00E4541D">
        <w:t xml:space="preserve">. Given that vaccination plays a crucial role in controlling diseases during a pandemic, the refusal to get vaccinated can hinder the progress in ending an outbreak. Data reveals that vaccine hesitancy was quite prominent at the start of 2021 when the COVID-19 vaccine became available to certain segments of the public. </w:t>
      </w:r>
      <w:r w:rsidR="00FF3A12" w:rsidRPr="00FF3A12">
        <w:t>The primary factors mentioned as causes for this hesitancy included worries about potential adverse effects, a preference for a "wait and see" approach due to uncertainties regarding vaccine efficacy, belief in pre-existing immunity, and skepticism regarding the vaccine's origin</w:t>
      </w:r>
      <w:r w:rsidR="00FF3A12">
        <w:t xml:space="preserve"> </w:t>
      </w:r>
      <w:r w:rsidR="00FF3A12">
        <w:fldChar w:fldCharType="begin" w:fldLock="1"/>
      </w:r>
      <w:r w:rsidR="00317095">
        <w:instrText>ADDIN CSL_CITATION {"citationItems":[{"id":"ITEM-1","itemData":{"DOI":"10.1186/s12939-022-01729-x","ISSN":"1475-9276","author":[{"dropping-particle":"","family":"Bayati","given":"Mohsen","non-dropping-particle":"","parse-names":false,"suffix":""},{"dropping-particle":"","family":"Noroozi","given":"Rayehe","non-dropping-particle":"","parse-names":false,"suffix":""},{"dropping-particle":"","family":"Jahromi","given":"Mohadeseh Ghanbari","non-dropping-particle":"","parse-names":false,"suffix":""},{"dropping-particle":"","family":"Jalali","given":"Faride Sadat","non-dropping-particle":"","parse-names":false,"suffix":""}],"container-title":"International Journal for Equity in Health","id":"ITEM-1","issued":{"date-parts":[["2022"]]},"page":"1-9","publisher":"BioMed Central","title":"Inequality in the distribution of Covid ‑ 19 vaccine : a systematic review","type":"article-journal"},"uris":["http://www.mendeley.com/documents/?uuid=dff0cc68-e77f-4ce1-9d31-1fcef2617f2e"]}],"mendeley":{"formattedCitation":"(Bayati et al., 2022)","plainTextFormattedCitation":"(Bayati et al., 2022)","previouslyFormattedCitation":"(Bayati et al., 2022)"},"properties":{"noteIndex":0},"schema":"https://github.com/citation-style-language/schema/raw/master/csl-citation.json"}</w:instrText>
      </w:r>
      <w:r w:rsidR="00FF3A12">
        <w:fldChar w:fldCharType="separate"/>
      </w:r>
      <w:r w:rsidR="008D2835" w:rsidRPr="008D2835">
        <w:rPr>
          <w:noProof/>
        </w:rPr>
        <w:t>(Bayati et al., 2022)</w:t>
      </w:r>
      <w:r w:rsidR="00FF3A12">
        <w:fldChar w:fldCharType="end"/>
      </w:r>
      <w:r w:rsidR="00FF3A12" w:rsidRPr="00FF3A12">
        <w:t>.</w:t>
      </w:r>
      <w:r w:rsidR="007F24E2">
        <w:t xml:space="preserve"> </w:t>
      </w:r>
      <w:r w:rsidRPr="00E4541D">
        <w:t>However, vaccine hesitancy tends to change over time as people gain more information. For instance, the percentage of individuals aged 18 years and older who expressed hesitancy towards receiving the COVID-19 vaccine decreased from 22% to 16% over a 12-week period spanning from January 2021 to the end of March 2021</w:t>
      </w:r>
      <w:r w:rsidRPr="00E4541D">
        <w:fldChar w:fldCharType="begin" w:fldLock="1"/>
      </w:r>
      <w:r w:rsidR="00317095">
        <w:instrText>ADDIN CSL_CITATION {"citationItems":[{"id":"ITEM-1","itemData":{"author":[{"dropping-particle":"","family":"Beleche","given":"Trinidad","non-dropping-particle":"","parse-names":false,"suffix":""},{"dropping-particle":"","family":"Ruhter","given":"Joel","non-dropping-particle":"","parse-names":false,"suffix":""},{"dropping-particle":"","family":"Kolbe","given":"Allison","non-dropping-particle":"","parse-names":false,"suffix":""},{"dropping-particle":"","family":"Marus","given":"Jessica","non-dropping-particle":"","parse-names":false,"suffix":""},{"dropping-particle":"","family":"Bush","given":"Laina","non-dropping-particle":"","parse-names":false,"suffix":""},{"dropping-particle":"","family":"Sommers","given":"Benjamin","non-dropping-particle":"","parse-names":false,"suffix":""}],"container-title":"Published online","id":"ITEM-1","issued":{"date-parts":[["2021"]]},"title":"COVID-19 vaccine hesitancy: demographic factors, geographic patterns, and changes over time","type":"article-journal","volume":"27"},"uris":["http://www.mendeley.com/documents/?uuid=6b52ca9f-234d-4511-bde7-a9a19aaa132e"]}],"mendeley":{"formattedCitation":"(Beleche et al., 2021)","plainTextFormattedCitation":"(Beleche et al., 2021)","previouslyFormattedCitation":"(Beleche et al., 2021)"},"properties":{"noteIndex":0},"schema":"https://github.com/citation-style-language/schema/raw/master/csl-citation.json"}</w:instrText>
      </w:r>
      <w:r w:rsidRPr="00E4541D">
        <w:fldChar w:fldCharType="separate"/>
      </w:r>
      <w:r w:rsidR="008D2835" w:rsidRPr="008D2835">
        <w:rPr>
          <w:noProof/>
        </w:rPr>
        <w:t>(Beleche et al., 2021)</w:t>
      </w:r>
      <w:r w:rsidRPr="00E4541D">
        <w:fldChar w:fldCharType="end"/>
      </w:r>
      <w:r w:rsidRPr="00E4541D">
        <w:t>.</w:t>
      </w:r>
    </w:p>
    <w:p w14:paraId="35AE1576" w14:textId="77777777" w:rsidR="002850F7" w:rsidRDefault="002850F7" w:rsidP="00860F5E">
      <w:r w:rsidRPr="00C9567D">
        <w:t xml:space="preserve">In the early stages of vaccine distribution, when supplies are severely limited, it is essential to recognize the issue of vaccine hesitancy. Despite vaccines being available for eligible groups in certain regions, a significant proportion of individuals within those regions may be unwilling to receive the vaccine. In these circumstances, a more equitable approach would </w:t>
      </w:r>
      <w:r>
        <w:t xml:space="preserve">be to </w:t>
      </w:r>
      <w:r w:rsidRPr="00C9567D">
        <w:t>allocat</w:t>
      </w:r>
      <w:r>
        <w:t>e</w:t>
      </w:r>
      <w:r w:rsidRPr="00C9567D">
        <w:t xml:space="preserve"> </w:t>
      </w:r>
      <w:r>
        <w:t>those</w:t>
      </w:r>
      <w:r w:rsidRPr="00C9567D">
        <w:t xml:space="preserve"> vaccine doses to regions characterized by high vulnerability and lower levels of hesitancy. By strategically allocating doses in this manner, the impact of the limited vaccine supply</w:t>
      </w:r>
      <w:r>
        <w:t xml:space="preserve"> can be optimized, which can better help to </w:t>
      </w:r>
      <w:r w:rsidRPr="00C9567D">
        <w:t>achieve</w:t>
      </w:r>
      <w:r>
        <w:t xml:space="preserve"> the</w:t>
      </w:r>
      <w:r w:rsidRPr="00C9567D">
        <w:t xml:space="preserve"> herd immunity.</w:t>
      </w:r>
    </w:p>
    <w:p w14:paraId="515FF04A" w14:textId="04350114" w:rsidR="002850F7" w:rsidRDefault="007E435B" w:rsidP="00860F5E">
      <w:r w:rsidRPr="00A7453E">
        <w:lastRenderedPageBreak/>
        <w:t xml:space="preserve">Utilizing social equity in the distribution of </w:t>
      </w:r>
      <w:r>
        <w:t>vaccine</w:t>
      </w:r>
      <w:r w:rsidRPr="00A7453E">
        <w:t xml:space="preserve"> </w:t>
      </w:r>
      <w:r>
        <w:t>at the early stage of pandemic when there is limited suppli</w:t>
      </w:r>
      <w:r w:rsidRPr="00A7453E">
        <w:t>es can significantly reduce</w:t>
      </w:r>
      <w:r>
        <w:t xml:space="preserve"> </w:t>
      </w:r>
      <w:r w:rsidRPr="00A7453E">
        <w:t>infection rates</w:t>
      </w:r>
      <w:r>
        <w:t xml:space="preserve"> </w:t>
      </w:r>
      <w:r>
        <w:fldChar w:fldCharType="begin" w:fldLock="1"/>
      </w:r>
      <w:r w:rsidR="00317095">
        <w:instrText>ADDIN CSL_CITATION {"citationItems":[{"id":"ITEM-1","itemData":{"DOI":"10.1016/j.ijpe.2022.108684","ISSN":"0925-5273","author":[{"dropping-particle":"","family":"Dastgoshade","given":"Sohaib","non-dropping-particle":"","parse-names":false,"suffix":""},{"dropping-particle":"","family":"Shafiee","given":"Mohammad","non-dropping-particle":"","parse-names":false,"suffix":""},{"dropping-particle":"","family":"Klibi","given":"Walid","non-dropping-particle":"","parse-names":false,"suffix":""},{"dropping-particle":"","family":"Shishebori","given":"Davood","non-dropping-particle":"","parse-names":false,"suffix":""}],"container-title":"International Journal of Production Economics","id":"ITEM-1","issue":"June","issued":{"date-parts":[["2022"]]},"page":"108684","publisher":"Elsevier B.V.","title":"Social equity-based distribution networks design for the COVID-19 vaccine","type":"article-journal","volume":"250"},"uris":["http://www.mendeley.com/documents/?uuid=46c34dd5-12ca-49f8-b0f7-69838298a1d1"]}],"mendeley":{"formattedCitation":"(Dastgoshade et al., 2022)","plainTextFormattedCitation":"(Dastgoshade et al., 2022)","previouslyFormattedCitation":"(Dastgoshade et al., 2022)"},"properties":{"noteIndex":0},"schema":"https://github.com/citation-style-language/schema/raw/master/csl-citation.json"}</w:instrText>
      </w:r>
      <w:r>
        <w:fldChar w:fldCharType="separate"/>
      </w:r>
      <w:r w:rsidR="008D2835" w:rsidRPr="008D2835">
        <w:rPr>
          <w:noProof/>
        </w:rPr>
        <w:t>(Dastgoshade et al., 2022)</w:t>
      </w:r>
      <w:r>
        <w:fldChar w:fldCharType="end"/>
      </w:r>
      <w:r w:rsidRPr="00A7453E">
        <w:t xml:space="preserve">. </w:t>
      </w:r>
      <w:r w:rsidR="002850F7" w:rsidRPr="008A5361">
        <w:t xml:space="preserve">It is </w:t>
      </w:r>
      <w:r w:rsidR="002850F7">
        <w:t>crucial</w:t>
      </w:r>
      <w:r w:rsidR="002850F7" w:rsidRPr="008A5361">
        <w:t xml:space="preserve"> to evaluate policies using different equity theories because a policy may seem fair from one perspective but unfair from another</w:t>
      </w:r>
      <w:r w:rsidR="002850F7">
        <w:t xml:space="preserve"> </w:t>
      </w:r>
      <w:r w:rsidR="002850F7">
        <w:fldChar w:fldCharType="begin" w:fldLock="1"/>
      </w:r>
      <w:r w:rsidR="00317095">
        <w:instrText>ADDIN CSL_CITATION {"citationItems":[{"id":"ITEM-1","itemData":{"DOI":"10.1016/j.tra.2018.04.005","ISSN":"09658564","abstract":"In recent years, researchers have developed new methods to measure how transport decisions affect different groups of society. An example is the distribution of impacts (benefits and costs) from roadway investments, and the degree that the results are considered equitable (also called fair or just). Such decisions affect people's ability to access services and activities, and therefore their economic opportunities and development. This study suggests ways of incorporating social equity measures in transportation network planning. It describes various equity impacts that can result from transportation planning decisions, discusses various social equity concepts and theories, reviews previous attempts to incorporate equity considerations into transport networks modeling, and suggests a framework for simultaneously optimizing network design and achieving social equity objectives. According to this framework, network design can be formulated using bi-level integer programming models corresponding to seven major social equity approaches along with the classical approach of “Total Travel Time Minimization.” An accessibility variable is used as the distributable benefit. This approach is more comprehensive and flexible than previous equity impact models. The proposed framework can be used to evaluate and optimize the equity impacts of various infrastructure investment decisions.","author":[{"dropping-particle":"","family":"Behbahani","given":"Hamid","non-dropping-particle":"","parse-names":false,"suffix":""},{"dropping-particle":"","family":"Nazari","given":"Sobhan","non-dropping-particle":"","parse-names":false,"suffix":""},{"dropping-particle":"","family":"Jafari Kang","given":"Masood","non-dropping-particle":"","parse-names":false,"suffix":""},{"dropping-particle":"","family":"Litman","given":"Todd","non-dropping-particle":"","parse-names":false,"suffix":""}],"container-title":"Transportation Research Part A: Policy and Practice","id":"ITEM-1","issue":"April 2018","issued":{"date-parts":[["2019"]]},"page":"171-183","publisher":"Elsevier","title":"A conceptual framework to formulate transportation network design problem considering social equity criteria","type":"article-journal","volume":"125"},"uris":["http://www.mendeley.com/documents/?uuid=237be5b0-029d-43c6-ad27-58e32d58d933"]}],"mendeley":{"formattedCitation":"(Behbahani et al., 2019)","plainTextFormattedCitation":"(Behbahani et al., 2019)","previouslyFormattedCitation":"(Behbahani et al., 2019)"},"properties":{"noteIndex":0},"schema":"https://github.com/citation-style-language/schema/raw/master/csl-citation.json"}</w:instrText>
      </w:r>
      <w:r w:rsidR="002850F7">
        <w:fldChar w:fldCharType="separate"/>
      </w:r>
      <w:r w:rsidR="008D2835" w:rsidRPr="008D2835">
        <w:rPr>
          <w:noProof/>
        </w:rPr>
        <w:t>(Behbahani et al., 2019)</w:t>
      </w:r>
      <w:r w:rsidR="002850F7">
        <w:fldChar w:fldCharType="end"/>
      </w:r>
      <w:r w:rsidR="002850F7">
        <w:t xml:space="preserve">. </w:t>
      </w:r>
    </w:p>
    <w:p w14:paraId="2CD64A31" w14:textId="569E0B0C" w:rsidR="00F6442A" w:rsidRDefault="00B11245" w:rsidP="007108F9">
      <w:pPr>
        <w:spacing w:before="0" w:after="0"/>
      </w:pPr>
      <w:r w:rsidRPr="00B11245">
        <w:t xml:space="preserve">Prior to </w:t>
      </w:r>
      <w:r w:rsidR="007108F9">
        <w:t>starting</w:t>
      </w:r>
      <w:r w:rsidRPr="00B11245">
        <w:t xml:space="preserve"> the vaccination process, the CDC has advised states to prepare for three vaccination phases</w:t>
      </w:r>
      <w:r w:rsidR="008E2396">
        <w:t xml:space="preserve"> </w:t>
      </w:r>
      <w:r w:rsidR="008E2396">
        <w:fldChar w:fldCharType="begin" w:fldLock="1"/>
      </w:r>
      <w:r w:rsidR="00317095">
        <w:instrText>ADDIN CSL_CITATION {"citationItems":[{"id":"ITEM-1","itemData":{"author":[{"dropping-particle":"","family":"CDC","given":"","non-dropping-particle":"","parse-names":false,"suffix":""}],"id":"ITEM-1","issued":{"date-parts":[["2020"]]},"title":"COVID-19 Vaccination Program Interim Operational Guidance Jurisdiction Operations","type":"report"},"uris":["http://www.mendeley.com/documents/?uuid=da3819b7-77df-367f-bc92-af545b711d97"]}],"mendeley":{"formattedCitation":"(CDC, 2020)","plainTextFormattedCitation":"(CDC, 2020)","previouslyFormattedCitation":"(CDC, 2020)"},"properties":{"noteIndex":0},"schema":"https://github.com/citation-style-language/schema/raw/master/csl-citation.json"}</w:instrText>
      </w:r>
      <w:r w:rsidR="008E2396">
        <w:fldChar w:fldCharType="separate"/>
      </w:r>
      <w:r w:rsidR="008D2835" w:rsidRPr="008D2835">
        <w:rPr>
          <w:noProof/>
        </w:rPr>
        <w:t>(CDC, 2020)</w:t>
      </w:r>
      <w:r w:rsidR="008E2396">
        <w:fldChar w:fldCharType="end"/>
      </w:r>
      <w:r w:rsidRPr="00B11245">
        <w:t xml:space="preserve">. </w:t>
      </w:r>
      <w:r w:rsidR="007108F9">
        <w:t>In</w:t>
      </w:r>
      <w:r w:rsidR="007108F9" w:rsidRPr="007108F9">
        <w:t xml:space="preserve"> Phase 1, when the vaccine supply is limited, the main objective should be to prioritize the initial critical population. This includes healthcare and essential workers, as well as individuals at higher risk for severe illness. It is crucial to efficiently manage logistics in order to minimize wastage and inefficiencies.</w:t>
      </w:r>
      <w:r w:rsidR="007108F9">
        <w:t xml:space="preserve"> </w:t>
      </w:r>
      <w:r w:rsidRPr="00B11245">
        <w:t>During Phase 2, a larger quantity of vaccines will be available. The focus should shift towards expanding the network of healthcare providers to vaccinate individuals who were not vaccinated in Phase 1, as well as accommodating the new population eligible for vaccination.</w:t>
      </w:r>
      <w:r w:rsidR="008E2396">
        <w:t xml:space="preserve"> </w:t>
      </w:r>
      <w:r w:rsidRPr="00B11245">
        <w:t>In Phase 3, there will be an ample supply of vaccine doses for the entire population, with surplus doses available. The main objective in this phase is to ensure fair and equal access to vaccination for the entire population.</w:t>
      </w:r>
      <w:r w:rsidR="00F6442A">
        <w:t xml:space="preserve"> </w:t>
      </w:r>
    </w:p>
    <w:p w14:paraId="68C7BAED" w14:textId="7F06DF70" w:rsidR="00F6442A" w:rsidRDefault="00F6442A" w:rsidP="00F6442A">
      <w:pPr>
        <w:spacing w:before="0" w:after="0"/>
      </w:pPr>
      <w:r w:rsidRPr="00F6442A">
        <w:t>An important aspect to consider is that there will be a limited supply of vaccines at the start of the program, but it is expected to increase rapidly during the initial phase of vaccination. Consequently, the planning should be adaptable yet sufficiently detailed to accommodate various potential situations</w:t>
      </w:r>
      <w:r>
        <w:t xml:space="preserve"> </w:t>
      </w:r>
      <w:r>
        <w:fldChar w:fldCharType="begin" w:fldLock="1"/>
      </w:r>
      <w:r w:rsidR="00317095">
        <w:instrText>ADDIN CSL_CITATION {"citationItems":[{"id":"ITEM-1","itemData":{"author":[{"dropping-particle":"","family":"CDC","given":"","non-dropping-particle":"","parse-names":false,"suffix":""}],"id":"ITEM-1","issued":{"date-parts":[["2020"]]},"title":"COVID-19 Vaccination Program Interim Operational Guidance Jurisdiction Operations","type":"report"},"uris":["http://www.mendeley.com/documents/?uuid=da3819b7-77df-367f-bc92-af545b711d97"]}],"mendeley":{"formattedCitation":"(CDC, 2020)","plainTextFormattedCitation":"(CDC, 2020)","previouslyFormattedCitation":"(CDC, 2020)"},"properties":{"noteIndex":0},"schema":"https://github.com/citation-style-language/schema/raw/master/csl-citation.json"}</w:instrText>
      </w:r>
      <w:r>
        <w:fldChar w:fldCharType="separate"/>
      </w:r>
      <w:r w:rsidR="008D2835" w:rsidRPr="008D2835">
        <w:rPr>
          <w:noProof/>
        </w:rPr>
        <w:t>(CDC, 2020)</w:t>
      </w:r>
      <w:r>
        <w:fldChar w:fldCharType="end"/>
      </w:r>
      <w:r w:rsidRPr="00F6442A">
        <w:t>.</w:t>
      </w:r>
    </w:p>
    <w:p w14:paraId="18CA8237" w14:textId="77777777" w:rsidR="00B11245" w:rsidRPr="007F0B7E" w:rsidRDefault="00B11245" w:rsidP="00B11245">
      <w:pPr>
        <w:spacing w:before="0" w:after="0"/>
        <w:rPr>
          <w:sz w:val="20"/>
          <w:szCs w:val="20"/>
        </w:rPr>
      </w:pPr>
    </w:p>
    <w:p w14:paraId="0E76C4D2" w14:textId="77777777" w:rsidR="002850F7" w:rsidRDefault="002850F7" w:rsidP="00860F5E">
      <w:pPr>
        <w:pStyle w:val="Heading1"/>
      </w:pPr>
      <w:r w:rsidRPr="00B95CFE">
        <w:t>Literature</w:t>
      </w:r>
      <w:r>
        <w:t xml:space="preserve"> review</w:t>
      </w:r>
    </w:p>
    <w:p w14:paraId="4C074427" w14:textId="0A8690A8" w:rsidR="005B7617" w:rsidRPr="005B7617" w:rsidRDefault="00123BC2" w:rsidP="005B7617">
      <w:r w:rsidRPr="00123BC2">
        <w:t>Most of the research on vaccine distribution primarily addresses preparedness for expected and recurring epidemics, such as seasonal influenza. However, there is a limited amount of literature available that specifically addresses the challenges posed by unpredictable outbreaks, such as a pandemic influenza</w:t>
      </w:r>
      <w:r>
        <w:t xml:space="preserve"> </w:t>
      </w:r>
      <w:r>
        <w:fldChar w:fldCharType="begin" w:fldLock="1"/>
      </w:r>
      <w:r w:rsidR="00317095">
        <w:instrText>ADDIN CSL_CITATION {"citationItems":[{"id":"ITEM-1","itemData":{"ISSN":"0377-2217","author":[{"dropping-particle":"","family":"Duijzer","given":"Lotty Evertje","non-dropping-particle":"","parse-names":false,"suffix":""},{"dropping-particle":"","family":"Jaarsveld","given":"Willem","non-dropping-particle":"Van","parse-names":false,"suffix":""},{"dropping-particle":"","family":"Dekker","given":"Rommert","non-dropping-particle":"","parse-names":false,"suffix":""}],"container-title":"European Journal of Operational Research","id":"ITEM-1","issue":"1","issued":{"date-parts":[["2018"]]},"page":"174-192","publisher":"Elsevier","title":"Literature review: The vaccine supply chain","type":"article-journal","volume":"268"},"uris":["http://www.mendeley.com/documents/?uuid=8e494eb2-9138-43d1-bd86-4ac1fc822135"]},{"id":"ITEM-2","itemData":{"author":[{"dropping-particle":"","family":"Bertsimas","given":"Dimitris","non-dropping-particle":"","parse-names":false,"suffix":""},{"dropping-particle":"","family":"Ivanhoe","given":"Joshua","non-dropping-particle":"","parse-names":false,"suffix":""},{"dropping-particle":"","family":"Jacquillat","given":"Alexandre","non-dropping-particle":"","parse-names":false,"suffix":""},{"dropping-particle":"","family":"Li","given":"Michael","non-dropping-particle":"","parse-names":false,"suffix":""},{"dropping-particle":"","family":"Previero","given":"Alessandro","non-dropping-particle":"","parse-names":false,"suffix":""},{"dropping-particle":"","family":"Lami","given":"Omar Skali","non-dropping-particle":"","parse-names":false,"suffix":""},{"dropping-particle":"","family":"Bouardi","given":"Hamza Tazi","non-dropping-particle":"","parse-names":false,"suffix":""}],"container-title":"MedRxiv","id":"ITEM-2","issued":{"date-parts":[["2020"]]},"page":"2011-2020","publisher":"Cold Spring Harbor Laboratory Press","title":"Optimizing vaccine allocation to combat the COVID-19 pandemic","type":"article-journal"},"uris":["http://www.mendeley.com/documents/?uuid=c41b97b6-6921-4233-84fc-57df24a6981d"]}],"mendeley":{"formattedCitation":"(Bertsimas et al., 2020; Duijzer et al., 2018)","plainTextFormattedCitation":"(Bertsimas et al., 2020; Duijzer et al., 2018)","previouslyFormattedCitation":"(Bertsimas et al., 2020; Duijzer et al., 2018)"},"properties":{"noteIndex":0},"schema":"https://github.com/citation-style-language/schema/raw/master/csl-citation.json"}</w:instrText>
      </w:r>
      <w:r>
        <w:fldChar w:fldCharType="separate"/>
      </w:r>
      <w:r w:rsidR="008D2835" w:rsidRPr="008D2835">
        <w:rPr>
          <w:noProof/>
        </w:rPr>
        <w:t>(Bertsimas et al., 2020; Duijzer et al., 2018)</w:t>
      </w:r>
      <w:r>
        <w:fldChar w:fldCharType="end"/>
      </w:r>
      <w:r w:rsidRPr="006E47D4">
        <w:t>.</w:t>
      </w:r>
      <w:r>
        <w:t xml:space="preserve"> </w:t>
      </w:r>
      <w:r w:rsidRPr="00123BC2">
        <w:t>.</w:t>
      </w:r>
    </w:p>
    <w:p w14:paraId="4B44BAA9" w14:textId="4241351E" w:rsidR="00701B7E" w:rsidRPr="00701B7E" w:rsidRDefault="002850F7" w:rsidP="00701B7E">
      <w:pPr>
        <w:pStyle w:val="Heading2"/>
      </w:pPr>
      <w:r>
        <w:t xml:space="preserve"> </w:t>
      </w:r>
      <w:r w:rsidRPr="00B95CFE">
        <w:t>Social</w:t>
      </w:r>
      <w:r>
        <w:t xml:space="preserve"> equity</w:t>
      </w:r>
      <w:r w:rsidRPr="008804B9">
        <w:t xml:space="preserve"> </w:t>
      </w:r>
      <w:r w:rsidR="00701B7E">
        <w:t>in v</w:t>
      </w:r>
      <w:r w:rsidR="00701B7E" w:rsidRPr="00701B7E">
        <w:t xml:space="preserve">accine </w:t>
      </w:r>
      <w:r w:rsidR="00701B7E">
        <w:t>d</w:t>
      </w:r>
      <w:r w:rsidR="00701B7E" w:rsidRPr="00701B7E">
        <w:t xml:space="preserve">istribution </w:t>
      </w:r>
    </w:p>
    <w:p w14:paraId="448A9AF2" w14:textId="30D4A42F" w:rsidR="00530683" w:rsidRDefault="00F27DC9" w:rsidP="00DE38B1">
      <w:r w:rsidRPr="00F27DC9">
        <w:t xml:space="preserve">The strategies in allocating and distributing COVID-19 vaccines has disproportionately affected people of different races, </w:t>
      </w:r>
      <w:r w:rsidR="00856E64" w:rsidRPr="00F27DC9">
        <w:t>ethnicities,</w:t>
      </w:r>
      <w:r w:rsidRPr="00F27DC9">
        <w:t xml:space="preserve"> and economic backgrounds</w:t>
      </w:r>
      <w:r w:rsidR="00856E64">
        <w:t xml:space="preserve"> </w:t>
      </w:r>
      <w:r w:rsidR="00856E64">
        <w:fldChar w:fldCharType="begin" w:fldLock="1"/>
      </w:r>
      <w:r w:rsidR="00317095">
        <w:instrText>ADDIN CSL_CITATION {"citationItems":[{"id":"ITEM-1","itemData":{"DOI":"10.1136/BMJOPEN-2020-039849","ISSN":"2044-6055","PMID":"32784264","abstract":"Introduction Data on race and ethnic disparities for severe acute respiratory syndrome coronavirus 2 (SARS-CoV-2) infection are limited. We analysed sociodemographic factors associated with higher likelihood of SARS-CoV-2 infection and explore mediating pathways for race and ethnic disparities in the SARS-CoV-2 pandemic.\n\nMethods This is a cross-sectional analysis of the COVID-19 Surveillance and Outcomes Registry, which captures data for a large healthcare system, comprising one central tertiary care hospital, seven large community hospitals and an expansive ambulatory/emergency care network in the Greater Houston area. Nasopharyngeal samples for individuals inclusive of all ages, races, ethnicities and sex were tested for SARS-CoV-2. We analysed sociodemographic (age, sex, race, ethnicity, household income, residence population density) and comorbidity (Charlson Comorbidity Index, hypertension, diabetes, obesity) factors. Multivariable logistic regression models were fitted to provide adjusted OR (aOR) and 95% CI for likelihood of a positive SARS-CoV-2 test. Structural equation modelling (SEM) framework was used to explore three mediation pathways (low income, high population density, high comorbidity burden) for the association between non-Hispanic black (NHB) race, Hispanic ethnicity and SARS-CoV-2 infection.\n\nResults Among 20 228 tested individuals, 1551 (7.7%) tested positive. The overall mean (SD) age was 51.1 (19.0) years, 62% were females, 22% were black and 18% were Hispanic. NHB and Hispanic ethnicity were associated with lower socioeconomic status and higher population density residence. In the fully adjusted model, NHB (vs non-Hispanic white; aOR, 2.23, CI 1.90 to 2.60) and Hispanic ethnicity (vs non-Hispanic; aOR, 1.95, CI 1.72 to 2.20) had a higher likelihood of infection. Older individuals and males were also at higher risk of infection. The SEM framework demonstrated a significant indirect effect of NHB and Hispanic ethnicity on SARS-CoV-2 infection mediated via a pathway including residence in densely populated zip code.\n\nConclusions There is strong evidence of race and ethnic disparities in the SARS-CoV-2 pandemic that are potentially mediated through unique social determinants of health.","author":[{"dropping-particle":"","family":"Vahidy","given":"Farhaan S.","non-dropping-particle":"","parse-names":false,"suffix":""},{"dropping-particle":"","family":"Nicolas","given":"Juan Carlos","non-dropping-particle":"","parse-names":false,"suffix":""},{"dropping-particle":"","family":"Meeks","given":"Jennifer R.","non-dropping-particle":"","parse-names":false,"suffix":""},{"dropping-particle":"","family":"Khan","given":"Osman","non-dropping-particle":"","parse-names":false,"suffix":""},{"dropping-particle":"","family":"Pan","given":"Alan","non-dropping-particle":"","parse-names":false,"suffix":""},{"dropping-particle":"","family":"Jones","given":"Stephen L.","non-dropping-particle":"","parse-names":false,"suffix":""},{"dropping-particle":"","family":"Masud","given":"Faisal","non-dropping-particle":"","parse-names":false,"suffix":""},{"dropping-particle":"","family":"Sostman","given":"H. Dirk","non-dropping-particle":"","parse-names":false,"suffix":""},{"dropping-particle":"","family":"Phillips","given":"Robert","non-dropping-particle":"","parse-names":false,"suffix":""},{"dropping-particle":"","family":"Andrieni","given":"Julia D.","non-dropping-particle":"","parse-names":false,"suffix":""},{"dropping-particle":"","family":"Kash","given":"Bita A.","non-dropping-particle":"","parse-names":false,"suffix":""},{"dropping-particle":"","family":"Nasir","given":"Khurram","non-dropping-particle":"","parse-names":false,"suffix":""}],"container-title":"BMJ Open","id":"ITEM-1","issue":"8","issued":{"date-parts":[["2020","8","1"]]},"page":"e039849","publisher":"British Medical Journal Publishing Group","title":"Racial and ethnic disparities in SARS-CoV-2 pandemic: analysis of a COVID-19 observational registry for a diverse US metropolitan population","type":"article-journal","volume":"10"},"uris":["http://www.mendeley.com/documents/?uuid=dbb79645-04ac-38ab-8bbe-2f51a6a46551"]},{"id":"ITEM-2","itemData":{"DOI":"10.1001/JAMANETWORKOPEN.2020.26881","ISSN":"25743805","PMID":"33275153","abstract":"&lt;h3&gt;Importance&lt;/h3&gt;&lt;p&gt;Black and Hispanic populations have higher rates of coronavirus disease 2019 (COVID-19) hospitalization and mortality than White populations but lower in-hospital case-fatality rates. The extent to which neighborhood characteristics and comorbidity explain these disparities is unclear. Outcomes in Asian American populations have not been explored.&lt;/p&gt;&lt;h3&gt;Objective&lt;/h3&gt;&lt;p&gt;To compare COVID-19 outcomes based on race and ethnicity and assess the association of any disparities with comorbidity and neighborhood characteristics.&lt;/p&gt;&lt;h3&gt;Design, Setting, and Participants&lt;/h3&gt;&lt;p&gt;This retrospective cohort study was conducted within the New York University Langone Health system, which includes over 260 outpatient practices and 4 acute care hospitals. All patients within the system’s integrated health record who were tested for severe acute respiratory syndrome coronavirus 2 between March 1, 2020, and April 8, 2020, were identified and followed up through May 13, 2020. Data were analyzed in June 2020. Among 11 547 patients tested, outcomes were compared by race and ethnicity and examined against differences by age, sex, body mass index, comorbidity, insurance type, and neighborhood socioeconomic status.&lt;/p&gt;&lt;h3&gt;Exposures&lt;/h3&gt;&lt;p&gt;Race and ethnicity categorized using self-reported electronic health record data (ie, non-Hispanic White, non-Hispanic Black, Hispanic, Asian, and multiracial/other patients).&lt;/p&gt;&lt;h3&gt;Main Outcomes and Measures&lt;/h3&gt;&lt;p&gt;The likelihood of receiving a positive test, hospitalization, and critical illness (defined as a composite of care in the intensive care unit, use of mechanical ventilation, discharge to hospice, or death).&lt;/p&gt;&lt;h3&gt;Results&lt;/h3&gt;&lt;p&gt;Among 9722 patients (mean [SD] age, 50.7 [17.5] years; 58.8% women), 4843 (49.8%) were positive for COVID-19; 2623 (54.2%) of those were admitted for hospitalization (1047 [39.9%] White, 375 [14.3%] Black, 715 [27.3%] Hispanic, 180 [6.9%] Asian, 207 [7.9%] multiracial/other). In fully adjusted models, Black patients (odds ratio [OR], 1.3; 95% CI, 1.2-1.6) and Hispanic patients (OR, 1.5; 95% CI, 1.3-1.7) were more likely than White patients to test positive. Among those who tested positive, odds of hospitalization were similar among White, Hispanic, and Black patients, but higher among Asian (OR, 1.6, 95% CI, 1.1-2.3) and multiracial patients (OR, 1.4; 95% CI, 1.0-1.9) compared with White patients. Among those hospitalized, Black patients were less likely than White patients to have se…","author":[{"dropping-particle":"","family":"Ogedegbe","given":"Gbenga","non-dropping-particle":"","parse-names":false,"suffix":""},{"dropping-particle":"","family":"Ravenell","given":"Joseph","non-dropping-particle":"","parse-names":false,"suffix":""},{"dropping-particle":"","family":"Adhikari","given":"Samrachana","non-dropping-particle":"","parse-names":false,"suffix":""},{"dropping-particle":"","family":"Butler","given":"Mark","non-dropping-particle":"","parse-names":false,"suffix":""},{"dropping-particle":"","family":"Cook","given":"Tiffany","non-dropping-particle":"","parse-names":false,"suffix":""},{"dropping-particle":"","family":"Francois","given":"Fritz","non-dropping-particle":"","parse-names":false,"suffix":""},{"dropping-particle":"","family":"Iturrate","given":"Eduardo","non-dropping-particle":"","parse-names":false,"suffix":""},{"dropping-particle":"","family":"Jean-Louis","given":"Girardin","non-dropping-particle":"","parse-names":false,"suffix":""},{"dropping-particle":"","family":"Jones","given":"Simon A.","non-dropping-particle":"","parse-names":false,"suffix":""},{"dropping-particle":"","family":"Onakomaiya","given":"Deborah","non-dropping-particle":"","parse-names":false,"suffix":""},{"dropping-particle":"","family":"Petrilli","given":"Christopher M.","non-dropping-particle":"","parse-names":false,"suffix":""},{"dropping-particle":"","family":"Pulgarin","given":"Claudia","non-dropping-particle":"","parse-names":false,"suffix":""},{"dropping-particle":"","family":"Regan","given":"Seann","non-dropping-particle":"","parse-names":false,"suffix":""},{"dropping-particle":"","family":"Reynolds","given":"Harmony","non-dropping-particle":"","parse-names":false,"suffix":""},{"dropping-particle":"","family":"Seixas","given":"Azizi","non-dropping-particle":"","parse-names":false,"suffix":""},{"dropping-particle":"","family":"Volpicelli","given":"Frank Michael","non-dropping-particle":"","parse-names":false,"suffix":""},{"dropping-particle":"","family":"Horwitz","given":"Leora Idit","non-dropping-particle":"","parse-names":false,"suffix":""}],"container-title":"JAMA Network Open","id":"ITEM-2","issue":"12","issued":{"date-parts":[["2020","12","1"]]},"page":"e2026881-e2026881","publisher":"American Medical Association","title":"Assessment of Racial/Ethnic Disparities in Hospitalization and Mortality in Patients With COVID-19 in New York City","type":"article-journal","volume":"3"},"uris":["http://www.mendeley.com/documents/?uuid=bd3ac4e6-fae9-37e4-a8cb-bb55648033ca"]},{"id":"ITEM-3","itemData":{"DOI":"10.1097/PHH.0000000000001263","ISSN":"15505022","PMID":"32956299","abstract":"Objective: To overcome the absence of national, state, and local public health data on the unequal economic and social burden of COVID-19 in the United States. Design: We analyze US county COVID-19 deaths and confirmed COVID-19 cases and positive COVID-19 tests in Illinois and New York City zip codes by area percent poverty, percent crowding, percent population of color, and the Index of Concentration at the Extremes. Setting: US counties and zip codes in Illinois and New York City, as of May 5, 2020. Main Outcome Measures: Rates, rate differences, and rate ratios of COVID-19 mortality, confirmed cases, and positive tests by category of county and zip code-level area-based socioeconomic measures. Results: As of May 5, 2020, the COVID-19 death rate per 100 000 person-years equaled the following: 143.2 (95% confidence interval [CI]: 140.9, 145.5) vs 83.3 (95% CI: 78.3, 88.4) in high versus low poverty counties (≥20% vs &lt;5% of persons below poverty); 124.4 (95% CI: 122.7, 126.0) versus 48.2 (95% CI: 47.2, 49.2) in counties in the top versus bottom quintile for household crowding; and 127.7 (95% CI: 126.0, 129.4) versus 25.9 (95% CI: 25.1, 26.6) for counties in the top versus bottom quintile for the percentage of persons who are people of color. Socioeconomic gradients in Illinois confirmed cases and New York City positive tests by zip code-level area-based socioeconomic measures were also observed. Conclusions: Stark social inequities exist in the United States for COVID-19 outcomes. We recommend that public health departments use these straightforward cost-effective methods to report on social inequities in COVID-19 outcomes to provide an evidence base for policy and resource allocation.","author":[{"dropping-particle":"","family":"Chen","given":"Jarvis T.","non-dropping-particle":"","parse-names":false,"suffix":""},{"dropping-particle":"","family":"Krieger","given":"Nancy","non-dropping-particle":"","parse-names":false,"suffix":""}],"container-title":"Journal of Public Health Management and Practice","id":"ITEM-3","issued":{"date-parts":[["2021","1","1"]]},"page":"S46-S56","publisher":"Wolters Kluwer","title":"Revealing the Unequal Burden of COVID-19 by Income, Race/Ethnicity, and Household Crowding: US County Versus Zip Code Analyses","type":"article-journal","volume":"27"},"uris":["http://www.mendeley.com/documents/?uuid=19aab1a2-16c3-3975-a705-0a2891e968d2"]}],"mendeley":{"formattedCitation":"(J. T. Chen &amp; Krieger, 2021; Ogedegbe et al., 2020; Vahidy et al., 2020)","plainTextFormattedCitation":"(J. T. Chen &amp; Krieger, 2021; Ogedegbe et al., 2020; Vahidy et al., 2020)","previouslyFormattedCitation":"(J. T. Chen &amp; Krieger, 2021; Ogedegbe et al., 2020; Vahidy et al., 2020)"},"properties":{"noteIndex":0},"schema":"https://github.com/citation-style-language/schema/raw/master/csl-citation.json"}</w:instrText>
      </w:r>
      <w:r w:rsidR="00856E64">
        <w:fldChar w:fldCharType="separate"/>
      </w:r>
      <w:r w:rsidR="008D2835" w:rsidRPr="008D2835">
        <w:rPr>
          <w:noProof/>
        </w:rPr>
        <w:t>(J. T. Chen &amp; Krieger, 2021; Ogedegbe et al., 2020; Vahidy et al., 2020)</w:t>
      </w:r>
      <w:r w:rsidR="00856E64">
        <w:fldChar w:fldCharType="end"/>
      </w:r>
      <w:r w:rsidRPr="00F27DC9">
        <w:t xml:space="preserve">. </w:t>
      </w:r>
      <w:r w:rsidR="00DE38B1" w:rsidRPr="00DE38B1">
        <w:t xml:space="preserve">The </w:t>
      </w:r>
      <w:r w:rsidR="00DE38B1">
        <w:t>inequality in vaccine</w:t>
      </w:r>
      <w:r w:rsidR="00DE38B1" w:rsidRPr="00DE38B1">
        <w:t xml:space="preserve"> distribution not only leads to health injustices for individuals and communities, but also hinders the economic recovery process in developing nations</w:t>
      </w:r>
      <w:r w:rsidR="00DE38B1">
        <w:t xml:space="preserve"> </w:t>
      </w:r>
      <w:r w:rsidR="00DE38B1">
        <w:fldChar w:fldCharType="begin" w:fldLock="1"/>
      </w:r>
      <w:r w:rsidR="00317095">
        <w:instrText>ADDIN CSL_CITATION {"citationItems":[{"id":"ITEM-1","itemData":{"DOI":"10.1186/s12939-022-01729-x","ISSN":"1475-9276","author":[{"dropping-particle":"","family":"Bayati","given":"Mohsen","non-dropping-particle":"","parse-names":false,"suffix":""},{"dropping-particle":"","family":"Noroozi","given":"Rayehe","non-dropping-particle":"","parse-names":false,"suffix":""},{"dropping-particle":"","family":"Jahromi","given":"Mohadeseh Ghanbari","non-dropping-particle":"","parse-names":false,"suffix":""},{"dropping-particle":"","family":"Jalali","given":"Faride Sadat","non-dropping-particle":"","parse-names":false,"suffix":""}],"container-title":"International Journal for Equity in Health","id":"ITEM-1","issued":{"date-parts":[["2022"]]},"page":"1-9","publisher":"BioMed Central","title":"Inequality in the distribution of Covid ‑ 19 vaccine : a systematic review","type":"article-journal"},"uris":["http://www.mendeley.com/documents/?uuid=dff0cc68-e77f-4ce1-9d31-1fcef2617f2e"]}],"mendeley":{"formattedCitation":"(Bayati et al., 2022)","plainTextFormattedCitation":"(Bayati et al., 2022)","previouslyFormattedCitation":"(Bayati et al., 2022)"},"properties":{"noteIndex":0},"schema":"https://github.com/citation-style-language/schema/raw/master/csl-citation.json"}</w:instrText>
      </w:r>
      <w:r w:rsidR="00DE38B1">
        <w:fldChar w:fldCharType="separate"/>
      </w:r>
      <w:r w:rsidR="008D2835" w:rsidRPr="008D2835">
        <w:rPr>
          <w:noProof/>
        </w:rPr>
        <w:t>(Bayati et al., 2022)</w:t>
      </w:r>
      <w:r w:rsidR="00DE38B1">
        <w:fldChar w:fldCharType="end"/>
      </w:r>
      <w:r w:rsidR="00DE38B1" w:rsidRPr="00DE38B1">
        <w:t>.</w:t>
      </w:r>
      <w:r w:rsidR="00DE38B1">
        <w:t xml:space="preserve"> </w:t>
      </w:r>
      <w:r w:rsidR="002850F7" w:rsidRPr="00CF3405">
        <w:t xml:space="preserve">Social equity, also known as social justice or fairness, </w:t>
      </w:r>
      <w:r w:rsidR="002850F7">
        <w:t>refers</w:t>
      </w:r>
      <w:r w:rsidR="002850F7" w:rsidRPr="00CF3405">
        <w:t xml:space="preserve"> to a </w:t>
      </w:r>
      <w:r w:rsidR="002850F7">
        <w:t>situation</w:t>
      </w:r>
      <w:r w:rsidR="002850F7" w:rsidRPr="00CF3405">
        <w:t xml:space="preserve"> in which the allocation of </w:t>
      </w:r>
      <w:r w:rsidR="002850F7" w:rsidRPr="00860F5E">
        <w:t>benefits</w:t>
      </w:r>
      <w:r w:rsidR="002850F7" w:rsidRPr="00CF3405">
        <w:t xml:space="preserve"> or costs within a population is perceived as fair and suitable</w:t>
      </w:r>
      <w:r w:rsidR="002850F7">
        <w:t xml:space="preserve"> </w:t>
      </w:r>
      <w:r w:rsidR="002850F7">
        <w:fldChar w:fldCharType="begin" w:fldLock="1"/>
      </w:r>
      <w:r w:rsidR="00317095">
        <w:instrText>ADDIN CSL_CITATION {"citationItems":[{"id":"ITEM-1","itemData":{"abstract":"Equity refers to the fairness with which impacts (benefits and costs) are distributed. Transportation planning decisions can have large and diverse equity impacts. Evaluating these can be challenging because there are several types of equity and impacts to consider, and various ways to measure them. Horizontal equity assumes that people with similar needs and abilities should be treated equally; vertical equity assumes that disadvantaged groups should receive a greater share of resources. Social justice addresses structural inequities such as racism and sexism. This report provides guidance for transportation equity analysis. It describes various perspectives and impacts, and practical ways to incorporate transportation equity goals into policy and planning analysis.","author":[{"dropping-particle":"","family":"Litman","given":"Todd","non-dropping-particle":"","parse-names":false,"suffix":""}],"container-title":"ITE Journal","id":"ITEM-1","issue":"4","issued":{"date-parts":[["2022"]]},"title":"Evaluating Transportation Equity Guidance for Incorporating Distributional Impacts in Transport Planning Evaluating Transportation Equity: Guidance for Incorporating Distributional Impacts in Transport Planning","type":"article-journal","volume":"92"},"uris":["http://www.mendeley.com/documents/?uuid=14e928b2-823f-309f-828f-22faf04bf6c3"]}],"mendeley":{"formattedCitation":"(Litman, 2022)","plainTextFormattedCitation":"(Litman, 2022)","previouslyFormattedCitation":"(Litman, 2022)"},"properties":{"noteIndex":0},"schema":"https://github.com/citation-style-language/schema/raw/master/csl-citation.json"}</w:instrText>
      </w:r>
      <w:r w:rsidR="002850F7">
        <w:fldChar w:fldCharType="separate"/>
      </w:r>
      <w:r w:rsidR="008D2835" w:rsidRPr="008D2835">
        <w:rPr>
          <w:noProof/>
        </w:rPr>
        <w:t>(Litman, 2022)</w:t>
      </w:r>
      <w:r w:rsidR="002850F7">
        <w:fldChar w:fldCharType="end"/>
      </w:r>
      <w:r w:rsidR="002850F7" w:rsidRPr="00CF3405">
        <w:t>.</w:t>
      </w:r>
      <w:r w:rsidR="002850F7">
        <w:t xml:space="preserve"> According to the CDC definition, social equity in vaccine distribution </w:t>
      </w:r>
      <w:r w:rsidR="002850F7" w:rsidRPr="00D113CA">
        <w:t xml:space="preserve">refers to the fair and equal access to COVID-19 </w:t>
      </w:r>
      <w:r w:rsidR="002850F7" w:rsidRPr="00530683">
        <w:t>vaccination</w:t>
      </w:r>
      <w:r w:rsidR="002850F7" w:rsidRPr="00D113CA">
        <w:t xml:space="preserve"> for all eligible individuals</w:t>
      </w:r>
      <w:r w:rsidR="002850F7">
        <w:t xml:space="preserve"> </w:t>
      </w:r>
      <w:r w:rsidR="002850F7">
        <w:fldChar w:fldCharType="begin" w:fldLock="1"/>
      </w:r>
      <w:r w:rsidR="00317095">
        <w:instrText>ADDIN CSL_CITATION {"citationItems":[{"id":"ITEM-1","itemData":{"URL":"https://www.cdc.gov/coronavirus/2019-ncov/community/health-equity/vaccine-equity.html","accessed":{"date-parts":[["2023","6","4"]]},"author":[{"dropping-particle":"","family":"CDC","given":"","non-dropping-particle":"","parse-names":false,"suffix":""}],"container-title":"Centers for Disease Control and Prevention","id":"ITEM-1","issued":{"date-parts":[["2022"]]},"title":"COVID-19 Vaccine Equity for Racial and Ethnic Minority Groups","type":"webpage"},"uris":["http://www.mendeley.com/documents/?uuid=d13abb7d-66b4-3769-852e-c6440c90ce0c"]}],"mendeley":{"formattedCitation":"(CDC, 2022b)","plainTextFormattedCitation":"(CDC, 2022b)","previouslyFormattedCitation":"(CDC, 2022b)"},"properties":{"noteIndex":0},"schema":"https://github.com/citation-style-language/schema/raw/master/csl-citation.json"}</w:instrText>
      </w:r>
      <w:r w:rsidR="002850F7">
        <w:fldChar w:fldCharType="separate"/>
      </w:r>
      <w:r w:rsidR="008D2835" w:rsidRPr="008D2835">
        <w:rPr>
          <w:noProof/>
        </w:rPr>
        <w:t>(CDC, 2022b)</w:t>
      </w:r>
      <w:r w:rsidR="002850F7">
        <w:fldChar w:fldCharType="end"/>
      </w:r>
      <w:r w:rsidR="002850F7" w:rsidRPr="00D113CA">
        <w:t>.</w:t>
      </w:r>
      <w:r w:rsidR="002850F7">
        <w:t xml:space="preserve"> </w:t>
      </w:r>
      <w:r w:rsidR="002850F7" w:rsidRPr="00D5502F">
        <w:t>Various social, geographic, political, economic, and environmental factors present obstacles to vaccine access and acceptance</w:t>
      </w:r>
      <w:r w:rsidR="002850F7">
        <w:t xml:space="preserve">, which may negatively impact </w:t>
      </w:r>
      <w:r w:rsidR="002850F7" w:rsidRPr="00D5502F">
        <w:t>racial and ethnic minority communities</w:t>
      </w:r>
      <w:r w:rsidR="002850F7">
        <w:t xml:space="preserve">. </w:t>
      </w:r>
    </w:p>
    <w:p w14:paraId="6959BB59" w14:textId="35F148E2" w:rsidR="00F32D63" w:rsidRDefault="00F32D63" w:rsidP="00F32D63">
      <w:pPr>
        <w:spacing w:before="0" w:after="0"/>
      </w:pPr>
      <w:r w:rsidRPr="004C72AB">
        <w:t xml:space="preserve">For instance, </w:t>
      </w:r>
      <w:r>
        <w:t>a</w:t>
      </w:r>
      <w:r w:rsidRPr="004C72AB">
        <w:t xml:space="preserve"> stud</w:t>
      </w:r>
      <w:r>
        <w:t>y</w:t>
      </w:r>
      <w:r w:rsidRPr="004C72AB">
        <w:t xml:space="preserve"> conducted in the United States</w:t>
      </w:r>
      <w:r>
        <w:t xml:space="preserve"> </w:t>
      </w:r>
      <w:r>
        <w:fldChar w:fldCharType="begin" w:fldLock="1"/>
      </w:r>
      <w:r w:rsidR="00317095">
        <w:instrText>ADDIN CSL_CITATION {"citationItems":[{"id":"ITEM-1","itemData":{"DOI":"10.3390/VACCINES9090973/S1","ISSN":"2076393X","abstract":"Equitable vaccination distribution is a priority for outcompeting the transmission of COVID-19. Here, the impact of demographic, socioeconomic, and environmental factors on county-level vaccination rates and COVID-19 incidence changes is assessed. In particular, using data from 3142 US counties with over 328 million individuals, correlations were computed between cumulative vaccination rate and change in COVID-19 incidence from 1 December 2020 to 6 June 2021, with 44 different demographic, environmental, and socioeconomic factors. This correlation analysis was also performed using multivariate linear regression to adjust for age as a potential confounding variable. These correlation analyses demonstrated that counties with high levels of uninsured individuals have significantly lower COVID-19 vaccination rates (Spearman correlation: −0.460, p-value: &lt;0.001). In addition, severe housing problems and high housing costs were strongly correlated with increased COVID-19 incidence (Spearman correlations: 0.335, 0.314, p-values: &lt;0.001, &lt;0.001). This study shows that socioeconomic factors are strongly correlated to both COVID-19 vaccination rates and incidence rates, underscoring the need to improve COVID-19 vaccination campaigns in marginalized communities.","author":[{"dropping-particle":"","family":"Donadio","given":"Gregory","non-dropping-particle":"","parse-names":false,"suffix":""},{"dropping-particle":"","family":"Choudhary","given":"Mayank","non-dropping-particle":"","parse-names":false,"suffix":""},{"dropping-particle":"","family":"Lindemer","given":"Emily","non-dropping-particle":"","parse-names":false,"suffix":""},{"dropping-particle":"","family":"Pawlowski","given":"Colin","non-dropping-particle":"","parse-names":false,"suffix":""},{"dropping-particle":"","family":"Soundararajan","given":"Venky","non-dropping-particle":"","parse-names":false,"suffix":""}],"container-title":"Vaccines","id":"ITEM-1","issue":"9","issued":{"date-parts":[["2021","9","1"]]},"page":"973","publisher":"MDPI","title":"Counties with lower insurance coverage and housing problems are associated with both slower vaccine rollout and higher covid-19 incidence","type":"article-journal","volume":"9"},"uris":["http://www.mendeley.com/documents/?uuid=9af734cb-38cd-366c-a01f-79807987cbc1"]}],"mendeley":{"formattedCitation":"(Donadio et al., 2021)","plainTextFormattedCitation":"(Donadio et al., 2021)","previouslyFormattedCitation":"(Donadio et al., 2021)"},"properties":{"noteIndex":0},"schema":"https://github.com/citation-style-language/schema/raw/master/csl-citation.json"}</w:instrText>
      </w:r>
      <w:r>
        <w:fldChar w:fldCharType="separate"/>
      </w:r>
      <w:r w:rsidR="008D2835" w:rsidRPr="008D2835">
        <w:rPr>
          <w:noProof/>
        </w:rPr>
        <w:t>(Donadio et al., 2021)</w:t>
      </w:r>
      <w:r>
        <w:fldChar w:fldCharType="end"/>
      </w:r>
      <w:r w:rsidRPr="004C72AB">
        <w:t xml:space="preserve"> </w:t>
      </w:r>
      <w:r>
        <w:t>has</w:t>
      </w:r>
      <w:r w:rsidRPr="004C72AB">
        <w:t xml:space="preserve"> indicated that women have a higher rate of vaccine administration compared to men. In Maryland, </w:t>
      </w:r>
      <w:r>
        <w:fldChar w:fldCharType="begin" w:fldLock="1"/>
      </w:r>
      <w:r w:rsidR="00317095">
        <w:instrText>ADDIN CSL_CITATION {"citationItems":[{"id":"ITEM-1","itemData":{"DOI":"10.1007/S11524-021-00551-0/FIGURES/1","ISSN":"14682869","PMID":"34142349","author":[{"dropping-particle":"","family":"Cardona","given":"Stephanie","non-dropping-particle":"","parse-names":false,"suffix":""},{"dropping-particle":"","family":"Felipe","given":"Naillid","non-dropping-particle":"","parse-names":false,"suffix":""},{"dropping-particle":"","family":"Fischer","given":"Kyle","non-dropping-particle":"","parse-names":false,"suffix":""},{"dropping-particle":"","family":"Sehgal","given":"Neil Jay","non-dropping-particle":"","parse-names":false,"suffix":""},{"dropping-particle":"","family":"Schwartz","given":"Brad E.","non-dropping-particle":"","parse-names":false,"suffix":""}],"container-title":"Journal of Urban Health","id":"ITEM-1","issue":"4","issued":{"date-parts":[["2021","8","1"]]},"page":"464-468","publisher":"Springer","title":"Vaccination Disparity: Quantifying Racial Inequity in COVID-19 Vaccine Administration in Maryland","type":"article-journal","volume":"98"},"uris":["http://www.mendeley.com/documents/?uuid=96097c94-2a06-388e-9c91-545ed588fa8e"]}],"mendeley":{"formattedCitation":"(Cardona et al., 2021)","plainTextFormattedCitation":"(Cardona et al., 2021)","previouslyFormattedCitation":"(Cardona et al., 2021)"},"properties":{"noteIndex":0},"schema":"https://github.com/citation-style-language/schema/raw/master/csl-citation.json"}</w:instrText>
      </w:r>
      <w:r>
        <w:fldChar w:fldCharType="separate"/>
      </w:r>
      <w:r w:rsidR="008D2835" w:rsidRPr="008D2835">
        <w:rPr>
          <w:noProof/>
        </w:rPr>
        <w:t>(Cardona et al., 2021)</w:t>
      </w:r>
      <w:r>
        <w:fldChar w:fldCharType="end"/>
      </w:r>
      <w:r>
        <w:t xml:space="preserve"> </w:t>
      </w:r>
      <w:r w:rsidRPr="004C72AB">
        <w:t xml:space="preserve">discovered through their research that vaccination rates among Black individuals were lower. </w:t>
      </w:r>
      <w:r w:rsidRPr="00F32D63">
        <w:t xml:space="preserve">However, it remains unclear whether the lower vaccination rates among </w:t>
      </w:r>
      <w:r>
        <w:t>these</w:t>
      </w:r>
      <w:r w:rsidRPr="00F32D63">
        <w:t xml:space="preserve"> groups are </w:t>
      </w:r>
      <w:r w:rsidRPr="00F32D63">
        <w:lastRenderedPageBreak/>
        <w:t xml:space="preserve">due to inequitable distribution of vaccines or the population's unwillingness to receive them. </w:t>
      </w:r>
      <w:r>
        <w:t>A</w:t>
      </w:r>
      <w:r w:rsidRPr="00F32D63">
        <w:t>dditionally, research indicates that politicians</w:t>
      </w:r>
      <w:r>
        <w:t>’</w:t>
      </w:r>
      <w:r w:rsidRPr="00F32D63">
        <w:t xml:space="preserve"> racial bias has led to higher vaccination rates among White and Indigenous populations in the region </w:t>
      </w:r>
      <w:r w:rsidR="00AF4085">
        <w:fldChar w:fldCharType="begin" w:fldLock="1"/>
      </w:r>
      <w:r w:rsidR="00317095">
        <w:instrText>ADDIN CSL_CITATION {"citationItems":[{"id":"ITEM-1","itemData":{"DOI":"10.1073/PNAS.2107873118/SUPPL_FILE/PNAS.2107873118.SAPP.PDF","ISSN":"10916490","PMID":"34326130","abstract":"Vaccine uptake is critical for mitigating the impact of COVID-19 in the United States, but structural inequities pose a serious threat to progress. Racial disparities in vaccination persist despite the increased availability of vaccines. We ask what factors are associated with such disparities. We combine data from state, federal, and other sources to estimate the relationship between social determinants of health and racial disparities in COVID-19 vaccinations at the county level. Analyzing vaccination data from 19 April 2021, when nearly half of the US adult population was at least partially vaccinated, we find associations between racial disparities in COVID-19 vaccination and median income (negative), disparity in high school education (positive), and vote share for the Republican party in the 2020 presidential election (negative), while vaccine hesitancy is not related to disparities. We examine differences in associations for COVID-19 vaccine uptake as compared with influenza vaccine. Key differences include an amplified role for socioeconomic privilege factors and political ideology, reflective of the unique societal context in which the pandemic has unfolded.","author":[{"dropping-particle":"","family":"Agarwal","given":"Ritu","non-dropping-particle":"","parse-names":false,"suffix":""},{"dropping-particle":"","family":"Dugas","given":"Michelle","non-dropping-particle":"","parse-names":false,"suffix":""},{"dropping-particle":"","family":"Ramaprasad","given":"Jui","non-dropping-particle":"","parse-names":false,"suffix":""},{"dropping-particle":"","family":"Luo","given":"Junjie","non-dropping-particle":"","parse-names":false,"suffix":""},{"dropping-particle":"","family":"Li","given":"Gujie","non-dropping-particle":"","parse-names":false,"suffix":""},{"dropping-particle":"","family":"Gao","given":"Guodong","non-dropping-particle":"","parse-names":false,"suffix":""}],"container-title":"Proceedings of the National Academy of Sciences of the United States of America","id":"ITEM-1","issue":"33","issued":{"date-parts":[["2021","8","17"]]},"page":"e2107873118","publisher":"National Academy of Sciences","title":"Socioeconomic privilege and political ideology are associated with racial disparity in COVID-19 vaccination","type":"article-journal","volume":"118"},"uris":["http://www.mendeley.com/documents/?uuid=0e7d8f99-48e6-3d12-aba5-f2c625120d2b"]}],"mendeley":{"formattedCitation":"(Agarwal et al., 2021)","plainTextFormattedCitation":"(Agarwal et al., 2021)","previouslyFormattedCitation":"(Agarwal et al., 2021)"},"properties":{"noteIndex":0},"schema":"https://github.com/citation-style-language/schema/raw/master/csl-citation.json"}</w:instrText>
      </w:r>
      <w:r w:rsidR="00AF4085">
        <w:fldChar w:fldCharType="separate"/>
      </w:r>
      <w:r w:rsidR="008D2835" w:rsidRPr="008D2835">
        <w:rPr>
          <w:noProof/>
        </w:rPr>
        <w:t>(Agarwal et al., 2021)</w:t>
      </w:r>
      <w:r w:rsidR="00AF4085">
        <w:fldChar w:fldCharType="end"/>
      </w:r>
      <w:r w:rsidRPr="00F32D63">
        <w:t xml:space="preserve">. </w:t>
      </w:r>
      <w:r>
        <w:t xml:space="preserve">The political environment is also reported as the one of the factors affecting the vaccine distribution. </w:t>
      </w:r>
      <w:r w:rsidR="00AF4085">
        <w:fldChar w:fldCharType="begin" w:fldLock="1"/>
      </w:r>
      <w:r w:rsidR="00317095">
        <w:instrText>ADDIN CSL_CITATION {"citationItems":[{"id":"ITEM-1","itemData":{"DOI":"10.1073/PNAS.2107873118/SUPPL_FILE/PNAS.2107873118.SAPP.PDF","ISSN":"10916490","PMID":"34326130","abstract":"Vaccine uptake is critical for mitigating the impact of COVID-19 in the United States, but structural inequities pose a serious threat to progress. Racial disparities in vaccination persist despite the increased availability of vaccines. We ask what factors are associated with such disparities. We combine data from state, federal, and other sources to estimate the relationship between social determinants of health and racial disparities in COVID-19 vaccinations at the county level. Analyzing vaccination data from 19 April 2021, when nearly half of the US adult population was at least partially vaccinated, we find associations between racial disparities in COVID-19 vaccination and median income (negative), disparity in high school education (positive), and vote share for the Republican party in the 2020 presidential election (negative), while vaccine hesitancy is not related to disparities. We examine differences in associations for COVID-19 vaccine uptake as compared with influenza vaccine. Key differences include an amplified role for socioeconomic privilege factors and political ideology, reflective of the unique societal context in which the pandemic has unfolded.","author":[{"dropping-particle":"","family":"Agarwal","given":"Ritu","non-dropping-particle":"","parse-names":false,"suffix":""},{"dropping-particle":"","family":"Dugas","given":"Michelle","non-dropping-particle":"","parse-names":false,"suffix":""},{"dropping-particle":"","family":"Ramaprasad","given":"Jui","non-dropping-particle":"","parse-names":false,"suffix":""},{"dropping-particle":"","family":"Luo","given":"Junjie","non-dropping-particle":"","parse-names":false,"suffix":""},{"dropping-particle":"","family":"Li","given":"Gujie","non-dropping-particle":"","parse-names":false,"suffix":""},{"dropping-particle":"","family":"Gao","given":"Guodong","non-dropping-particle":"","parse-names":false,"suffix":""}],"container-title":"Proceedings of the National Academy of Sciences of the United States of America","id":"ITEM-1","issue":"33","issued":{"date-parts":[["2021","8","17"]]},"page":"e2107873118","publisher":"National Academy of Sciences","title":"Socioeconomic privilege and political ideology are associated with racial disparity in COVID-19 vaccination","type":"article-journal","volume":"118"},"uris":["http://www.mendeley.com/documents/?uuid=0e7d8f99-48e6-3d12-aba5-f2c625120d2b"]}],"mendeley":{"formattedCitation":"(Agarwal et al., 2021)","plainTextFormattedCitation":"(Agarwal et al., 2021)","previouslyFormattedCitation":"(Agarwal et al., 2021)"},"properties":{"noteIndex":0},"schema":"https://github.com/citation-style-language/schema/raw/master/csl-citation.json"}</w:instrText>
      </w:r>
      <w:r w:rsidR="00AF4085">
        <w:fldChar w:fldCharType="separate"/>
      </w:r>
      <w:r w:rsidR="008D2835" w:rsidRPr="008D2835">
        <w:rPr>
          <w:noProof/>
        </w:rPr>
        <w:t>(Agarwal et al., 2021)</w:t>
      </w:r>
      <w:r w:rsidR="00AF4085">
        <w:fldChar w:fldCharType="end"/>
      </w:r>
      <w:r w:rsidRPr="004C72AB">
        <w:t xml:space="preserve"> study in the United States revealed that the outcome of the 2020 presidential election, along with the prevailing political sentiment, influenced the allocation of the Covid-19 vaccine. </w:t>
      </w:r>
      <w:r w:rsidRPr="002F7749">
        <w:t>For a detailed literature review on the factors contributing to the inequality of Covid-19 vaccine distribution, readers are referred to</w:t>
      </w:r>
      <w:r>
        <w:t xml:space="preserve"> </w:t>
      </w:r>
      <w:r w:rsidRPr="00296630">
        <w:fldChar w:fldCharType="begin" w:fldLock="1"/>
      </w:r>
      <w:r w:rsidR="00317095">
        <w:instrText>ADDIN CSL_CITATION {"citationItems":[{"id":"ITEM-1","itemData":{"DOI":"10.1186/s12939-022-01729-x","ISSN":"1475-9276","author":[{"dropping-particle":"","family":"Bayati","given":"Mohsen","non-dropping-particle":"","parse-names":false,"suffix":""},{"dropping-particle":"","family":"Noroozi","given":"Rayehe","non-dropping-particle":"","parse-names":false,"suffix":""},{"dropping-particle":"","family":"Jahromi","given":"Mohadeseh Ghanbari","non-dropping-particle":"","parse-names":false,"suffix":""},{"dropping-particle":"","family":"Jalali","given":"Faride Sadat","non-dropping-particle":"","parse-names":false,"suffix":""}],"container-title":"International Journal for Equity in Health","id":"ITEM-1","issued":{"date-parts":[["2022"]]},"page":"1-9","publisher":"BioMed Central","title":"Inequality in the distribution of Covid ‑ 19 vaccine : a systematic review","type":"article-journal"},"uris":["http://www.mendeley.com/documents/?uuid=dff0cc68-e77f-4ce1-9d31-1fcef2617f2e"]}],"mendeley":{"formattedCitation":"(Bayati et al., 2022)","plainTextFormattedCitation":"(Bayati et al., 2022)","previouslyFormattedCitation":"(Bayati et al., 2022)"},"properties":{"noteIndex":0},"schema":"https://github.com/citation-style-language/schema/raw/master/csl-citation.json"}</w:instrText>
      </w:r>
      <w:r w:rsidRPr="00296630">
        <w:fldChar w:fldCharType="separate"/>
      </w:r>
      <w:r w:rsidR="008D2835" w:rsidRPr="008D2835">
        <w:rPr>
          <w:noProof/>
        </w:rPr>
        <w:t>(Bayati et al., 2022)</w:t>
      </w:r>
      <w:r w:rsidRPr="00296630">
        <w:fldChar w:fldCharType="end"/>
      </w:r>
      <w:r>
        <w:t xml:space="preserve">. </w:t>
      </w:r>
      <w:r w:rsidRPr="00A7453E">
        <w:t>Ensuring fairness in vaccine allocation is not only an ethical concern but also acknowledges the principle of equal rights for all individuals</w:t>
      </w:r>
      <w:r>
        <w:rPr>
          <w:rFonts w:hint="cs"/>
          <w:rtl/>
        </w:rPr>
        <w:t xml:space="preserve"> </w:t>
      </w:r>
      <w:r>
        <w:fldChar w:fldCharType="begin" w:fldLock="1"/>
      </w:r>
      <w:r w:rsidR="00317095">
        <w:instrText>ADDIN CSL_CITATION {"citationItems":[{"id":"ITEM-1","itemData":{"DOI":"10.1016/j.ijpe.2022.108684","ISSN":"0925-5273","author":[{"dropping-particle":"","family":"Dastgoshade","given":"Sohaib","non-dropping-particle":"","parse-names":false,"suffix":""},{"dropping-particle":"","family":"Shafiee","given":"Mohammad","non-dropping-particle":"","parse-names":false,"suffix":""},{"dropping-particle":"","family":"Klibi","given":"Walid","non-dropping-particle":"","parse-names":false,"suffix":""},{"dropping-particle":"","family":"Shishebori","given":"Davood","non-dropping-particle":"","parse-names":false,"suffix":""}],"container-title":"International Journal of Production Economics","id":"ITEM-1","issue":"June","issued":{"date-parts":[["2022"]]},"page":"108684","publisher":"Elsevier B.V.","title":"Social equity-based distribution networks design for the COVID-19 vaccine","type":"article-journal","volume":"250"},"uris":["http://www.mendeley.com/documents/?uuid=46c34dd5-12ca-49f8-b0f7-69838298a1d1"]}],"mendeley":{"formattedCitation":"(Dastgoshade et al., 2022)","plainTextFormattedCitation":"(Dastgoshade et al., 2022)","previouslyFormattedCitation":"(Dastgoshade et al., 2022)"},"properties":{"noteIndex":0},"schema":"https://github.com/citation-style-language/schema/raw/master/csl-citation.json"}</w:instrText>
      </w:r>
      <w:r>
        <w:fldChar w:fldCharType="separate"/>
      </w:r>
      <w:r w:rsidR="008D2835" w:rsidRPr="008D2835">
        <w:rPr>
          <w:noProof/>
        </w:rPr>
        <w:t>(Dastgoshade et al., 2022)</w:t>
      </w:r>
      <w:r>
        <w:fldChar w:fldCharType="end"/>
      </w:r>
      <w:r w:rsidRPr="00A7453E">
        <w:t>.</w:t>
      </w:r>
      <w:r>
        <w:t xml:space="preserve"> </w:t>
      </w:r>
    </w:p>
    <w:p w14:paraId="1A4E840B" w14:textId="51BA5BCA" w:rsidR="002850F7" w:rsidRDefault="002850F7" w:rsidP="00860F5E">
      <w:r w:rsidRPr="00863706">
        <w:t xml:space="preserve">Although various efforts have been made to assess equity within transportation and humanitarian logistics </w:t>
      </w:r>
      <w:r>
        <w:fldChar w:fldCharType="begin" w:fldLock="1"/>
      </w:r>
      <w:r w:rsidR="00317095">
        <w:instrText>ADDIN CSL_CITATION {"citationItems":[{"id":"ITEM-1","itemData":{"ISSN":"0377-2217","author":[{"dropping-particle":"","family":"Gutjahr","given":"Walter J","non-dropping-particle":"","parse-names":false,"suffix":""},{"dropping-particle":"","family":"Fischer","given":"Sophie","non-dropping-particle":"","parse-names":false,"suffix":""}],"container-title":"European Journal of Operational Research","id":"ITEM-1","issue":"1","issued":{"date-parts":[["2018"]]},"page":"185-197","publisher":"Elsevier","title":"Equity and deprivation costs in humanitarian logistics","type":"article-journal","volume":"270"},"uris":["http://www.mendeley.com/documents/?uuid=77b6a174-5b1b-4a11-8cdc-8a70167c6e41"]},{"id":"ITEM-2","itemData":{"DOI":"10.1080/09537287.2018.1542157","ISSN":"13665871","abstract":"This article is inspired by some of the challenges faced by non-governmental organizations in the distribution of humanitarian relief to vulnerable rural communities. A major concern of these organizations is to warrant that relief is distributed in an impartial and transparent way, which gives rise to the notion of fairness. This article thus discusses the importance of fairness in relief distribution and how it can be defined, especially in a context where delivery of vital items must be ensured periodically. We also propose some performance indicators to measure fairness, which can be useful to organizations that are held accountable for the impartiality of their decisions. Finally, an empirical study of an academic case, inspired by a rural aid distribution problem, is used to analyse how different mathematical formulations may contribute in helping crisis managers integrate fairness or equity in their decisions.","author":[{"dropping-particle":"","family":"Anaya-Arenas","given":"Ana María","non-dropping-particle":"","parse-names":false,"suffix":""},{"dropping-particle":"","family":"Ruiz","given":"Angel","non-dropping-particle":"","parse-names":false,"suffix":""},{"dropping-particle":"","family":"Renaud","given":"Jacques","non-dropping-particle":"","parse-names":false,"suffix":""}],"container-title":"Production Planning and Control","id":"ITEM-2","issue":"14","issued":{"date-parts":[["2018"]]},"page":"1145-1157","publisher":"Taylor &amp; Francis","title":"Importance of fairness in humanitarian relief distribution","type":"article-journal","volume":"29"},"uris":["http://www.mendeley.com/documents/?uuid=47e9572e-bc08-4f63-995c-9e4613cec8ee"]},{"id":"ITEM-3","itemData":{"DOI":"10.1016/j.cie.2018.03.009","abstract":"Deprivation cost is often used as a key economic metric of human suffering associated with emergency logistics. An improved approach is proposed for effective and equitable critical resource allocation within emergency logistics that considers human suffering by using this economic representation. A dynamic programming model is constructed for a multi-period resource allocation dispatch problem extracted to represent the disaster response phase, with special attention paid to the human suffering resulting from the delivery delay. Extensive numerical experiments are conducted to validate the computational performance and solution quality of the dynamic programming method. Based on the best solutions, an optimal delivery pattern with a cyclically se-quenced feature is identified and its sufficient condition is provided as well. Furthermore, a piecewise linear method is proposed to accommodate large-scale instances that cannot be applied to the \"Cyclic Delivery Approach\".","author":[{"dropping-particle":"","family":"Yu","given":"Lina","non-dropping-particle":"","parse-names":false,"suffix":""},{"dropping-particle":"","family":"Zhang","given":"Canrong","non-dropping-particle":"","parse-names":false,"suffix":""},{"dropping-particle":"","family":"Yang","given":"Huasheng","non-dropping-particle":"","parse-names":false,"suffix":""},{"dropping-particle":"","family":"Miao","given":"Lixin","non-dropping-particle":"","parse-names":false,"suffix":""}],"id":"ITEM-3","issued":{"date-parts":[["2018"]]},"title":"Novel methods for resource allocation in humanitarian logistics considering human suffering","type":"article-journal"},"uris":["http://www.mendeley.com/documents/?uuid=7bace3d1-31dd-3429-84ee-d5cfb659002b"]},{"id":"ITEM-4","itemData":{"DOI":"10.1016/j.cie.2018.11.025","abstract":"In humanitarian emergency distribution, it is important to keep equity among delivery quantities and delivery times. In this paper, we consider a multi-period relief distribution network with time window and split delivery. We compare equity measures regarding delivery quantities, arrival times and deprivation times in different locations. We find that arrival time equity and deprivation time equity are equivalent under a certain condition. Moreover, we show that the equity measures behave differently depending on the ratios of supply, vehicle capacity and demand. Importantly, the deprivation time equity can better address the concept of \"equity\" in humanitarian emergency distribution. We conduct a case study on the Haiti earthquake to illustrate the impact of the proposed equity measures.","author":[{"dropping-particle":"","family":"Huang","given":"Kai","non-dropping-particle":"","parse-names":false,"suffix":""},{"dropping-particle":"","family":"Rafiei","given":"Rezvan","non-dropping-particle":"","parse-names":false,"suffix":""}],"id":"ITEM-4","issued":{"date-parts":[["2018"]]},"title":"Equitable last mile distribution in emergency response","type":"article-journal"},"uris":["http://www.mendeley.com/documents/?uuid=ffba1d4b-b13c-3608-956f-5fab713e3ea2"]}],"mendeley":{"formattedCitation":"(Anaya-Arenas et al., 2018; Gutjahr &amp; Fischer, 2018; Huang &amp; Rafiei, 2018; Yu et al., 2018)","plainTextFormattedCitation":"(Anaya-Arenas et al., 2018; Gutjahr &amp; Fischer, 2018; Huang &amp; Rafiei, 2018; Yu et al., 2018)","previouslyFormattedCitation":"(Anaya-Arenas et al., 2018; Gutjahr &amp; Fischer, 2018; Huang &amp; Rafiei, 2018; Yu et al., 2018)"},"properties":{"noteIndex":0},"schema":"https://github.com/citation-style-language/schema/raw/master/csl-citation.json"}</w:instrText>
      </w:r>
      <w:r>
        <w:fldChar w:fldCharType="separate"/>
      </w:r>
      <w:r w:rsidR="008D2835" w:rsidRPr="008D2835">
        <w:rPr>
          <w:noProof/>
        </w:rPr>
        <w:t>(Anaya-Arenas et al., 2018; Gutjahr &amp; Fischer, 2018; Huang &amp; Rafiei, 2018; Yu et al., 2018)</w:t>
      </w:r>
      <w:r>
        <w:fldChar w:fldCharType="end"/>
      </w:r>
      <w:r w:rsidRPr="00863706">
        <w:t>, the integration of social equity into operations research is still in its early stages</w:t>
      </w:r>
      <w:r>
        <w:t xml:space="preserve"> </w:t>
      </w:r>
      <w:r>
        <w:fldChar w:fldCharType="begin" w:fldLock="1"/>
      </w:r>
      <w:r w:rsidR="00317095">
        <w:instrText>ADDIN CSL_CITATION {"citationItems":[{"id":"ITEM-1","itemData":{"DOI":"10.1016/j.ijpe.2022.108684","ISSN":"0925-5273","author":[{"dropping-particle":"","family":"Dastgoshade","given":"Sohaib","non-dropping-particle":"","parse-names":false,"suffix":""},{"dropping-particle":"","family":"Shafiee","given":"Mohammad","non-dropping-particle":"","parse-names":false,"suffix":""},{"dropping-particle":"","family":"Klibi","given":"Walid","non-dropping-particle":"","parse-names":false,"suffix":""},{"dropping-particle":"","family":"Shishebori","given":"Davood","non-dropping-particle":"","parse-names":false,"suffix":""}],"container-title":"International Journal of Production Economics","id":"ITEM-1","issue":"June","issued":{"date-parts":[["2022"]]},"page":"108684","publisher":"Elsevier B.V.","title":"Social equity-based distribution networks design for the COVID-19 vaccine","type":"article-journal","volume":"250"},"uris":["http://www.mendeley.com/documents/?uuid=46c34dd5-12ca-49f8-b0f7-69838298a1d1"]}],"mendeley":{"formattedCitation":"(Dastgoshade et al., 2022)","plainTextFormattedCitation":"(Dastgoshade et al., 2022)","previouslyFormattedCitation":"(Dastgoshade et al., 2022)"},"properties":{"noteIndex":0},"schema":"https://github.com/citation-style-language/schema/raw/master/csl-citation.json"}</w:instrText>
      </w:r>
      <w:r>
        <w:fldChar w:fldCharType="separate"/>
      </w:r>
      <w:r w:rsidR="008D2835" w:rsidRPr="008D2835">
        <w:rPr>
          <w:noProof/>
        </w:rPr>
        <w:t>(Dastgoshade et al., 2022)</w:t>
      </w:r>
      <w:r>
        <w:fldChar w:fldCharType="end"/>
      </w:r>
      <w:r w:rsidRPr="00863706">
        <w:t>.</w:t>
      </w:r>
      <w:r>
        <w:t xml:space="preserve"> In particular, </w:t>
      </w:r>
      <w:r w:rsidRPr="0027169E">
        <w:t>the application of equity measurements in vaccine supply chains requires further development</w:t>
      </w:r>
      <w:r>
        <w:t xml:space="preserve"> </w:t>
      </w:r>
      <w:r>
        <w:fldChar w:fldCharType="begin" w:fldLock="1"/>
      </w:r>
      <w:r w:rsidR="00317095">
        <w:instrText xml:space="preserve">ADDIN CSL_CITATION {"citationItems":[{"id":"ITEM-1","itemData":{"DOI":"10.1016/j.omega.2019.08.004","abstract":"Low-and middle-income countries Access to immunization Public health Literature review a b s t r a c t Access to immunization varies greatly across the world. In order to increase vaccine coverage, the required vaccines need to be able to reach the targeted population. However, in low-and middle-income countries, this often turns out to be a challenging task. This article provides a literature review on vaccine distribution chains in low-and middle-income countries and consists of two main parts. The first part elaborates on the characteristics and challenges inherent to such distribution chains. In order to obtain a complete overview, both quantitative and qualitative papers are included. In the second part, relevant operations research and operations management literature is structured according to seven classification criteria: decision level, methodology, part of the vaccine distribution chain modelled, uncertainties and characteristics covered, performance measures, real-life applicability, and countries and vaccines covered. Throughout these classifications, a comparison is made between the issues reported in practice and those investigated in the operations research and operations management literature. Based on this analysis, we identify trends and conclude that several gaps exist, providing a promising avenue for future research.","author":[{"dropping-particle":"","family":"Boeck","given":"Kim","non-dropping-particle":"De","parse-names":false,"suffix":""},{"dropping-particle":"","family":"Decouttere","given":"Catherine","non-dropping-particle":"","parse-names":false,"suffix":""},{"dropping-particle":"","family":"Vandaele","given":"Nico","non-dropping-particle":"","parse-names":false,"suffix":""}],"container-title":"Omega","id":"ITEM-1","issued":{"date-parts":[["2020"]]},"page":"102097","title":"Vaccine distribution chains in low-and middle-income countries: A literature review </w:instrText>
      </w:r>
      <w:r w:rsidR="00317095">
        <w:rPr>
          <w:rFonts w:ascii="Segoe UI Symbol" w:hAnsi="Segoe UI Symbol" w:cs="Segoe UI Symbol"/>
        </w:rPr>
        <w:instrText>✩</w:instrText>
      </w:r>
      <w:r w:rsidR="00317095">
        <w:instrText>","type":"article-journal","volume":"97"},"uris":["http://www.mendeley.com/documents/?uuid=bd6f807b-e750-39d5-937e-d9c3f7a533f3"]},{"id":"ITEM-2","itemData":{"DOI":"10.1016/j.tra.2018.04.005","ISSN":"09658564","abstract":"In recent years, researchers have developed new methods to measure how transport decisions affect different groups of society. An example is the distribution of impacts (benefits and costs) from roadway investments, and the degree that the results are considered equitable (also called fair or just). Such decisions affect people's ability to access services and activities, and therefore their economic opportunities and development. This study suggests ways of incorporating social equity measures in transportation network planning. It describes various equity impacts that can result from transportation planning decisions, discusses various social equity concepts and theories, reviews previous attempts to incorporate equity considerations into transport networks modeling, and suggests a framework for simultaneously optimizing network design and achieving social equity objectives. According to this framework, network design can be formulated using bi-level integer programming models corresponding to seven major social equity approaches along with the classical approach of “Total Travel Time Minimization.” An accessibility variable is used as the distributable benefit. This approach is more comprehensive and flexible than previous equity impact models. The proposed framework can be used to evaluate and optimize the equity impacts of various infrastructure investment decisions.","author":[{"dropping-particle":"","family":"Behbahani","given":"Hamid","non-dropping-particle":"","parse-names":false,"suffix":""},{"dropping-particle":"","family":"Nazari","given":"Sobhan","non-dropping-particle":"","parse-names":false,"suffix":""},{"dropping-particle":"","family":"Jafari Kang","given":"Masood","non-dropping-particle":"","parse-names":false,"suffix":""},{"dropping-particle":"","family":"Litman","given":"Todd","non-dropping-particle":"","parse-names":false,"suffix":""}],"container-title":"Transportation Research Part A: Policy and Practice","id":"ITEM-2","issue":"April 2018","issued":{"date-parts":[["2019"]]},"page":"171-183","publisher":"Elsevier","title":"A conceptual framework to formulate transportation network design problem considering social equity criteria","type":"article-journal","volume":"125"},"uris":["http://www.mendeley.com/documents/?uuid=237be5b0-029d-43c6-ad27-58e32d58d933"]},{"id":"ITEM-3","itemData":{"DOI":"10.1016/j.ejor.2019.11.025","abstract":"This paper is concerned with the optimal influenza vaccine distribution in a heterogeneous population consisting of multiple subgroups. We employ a compartmental model for influenza transmission and formulate a mathematical program to minimize the number of vaccine doses distributed to effectively extinguish an emerging outbreak in its early stages. We propose an equity constraint to help public health authorities consider fairness when making vaccine distribution decisions. We develop an exact solution approach that generates a vaccine distribution policy with a solution quality guarantee. We perform sensitivity analyses on key epidemic parameters in order to illustrate the application of the proposed model. We then analyze the scalability of the solution approach for a population consisting of subgroups based on geographic location and age. We finally demonstrate the proposed model's ability to consider vaccine coverage inequity and discuss a derivative-free optimization approach, as an alternative solution method which can consider various different objective functions and constraints. Our results indicate that consideration of group-specific transmission dynamics is paramount to the optimal distribution of influenza vaccines.","author":[{"dropping-particle":"","family":"Enayati","given":"Shakiba","non-dropping-particle":"","parse-names":false,"suffix":""},{"dropping-particle":"","family":"Özaltın","given":"Osman Y","non-dropping-particle":"","parse-names":false,"suffix":""}],"container-title":"European Journal of Operational Research","id":"ITEM-3","issued":{"date-parts":[["2020"]]},"page":"714-725","title":"Optimal influenza vaccine distribution with equity","type":"article-journal","volume":"283"},"uris":["http://www.mendeley.com/documents/?uuid=04f35779-9538-3dd9-9a56-5cd96ae7e68b"]}],"mendeley":{"formattedCitation":"(Behbahani et al., 2019; De Boeck et al., 2020; Enayati &amp; Özaltın, 2020)","plainTextFormattedCitation":"(Behbahani et al., 2019; De Boeck et al., 2020; Enayati &amp; Özaltın, 2020)","previouslyFormattedCitation":"(Behbahani et al., 2019; De Boeck et al., 2020; Enayati &amp; Özaltın, 2020)"},"properties":{"noteIndex":0},"schema":"https://github.com/citation-style-language/schema/raw/master/csl-citation.json"}</w:instrText>
      </w:r>
      <w:r>
        <w:fldChar w:fldCharType="separate"/>
      </w:r>
      <w:r w:rsidR="008D2835" w:rsidRPr="008D2835">
        <w:rPr>
          <w:noProof/>
        </w:rPr>
        <w:t>(Behbahani et al., 2019; De Boeck et al., 2020; Enayati &amp; Özaltın, 2020)</w:t>
      </w:r>
      <w:r>
        <w:fldChar w:fldCharType="end"/>
      </w:r>
      <w:r w:rsidRPr="0027169E">
        <w:t>. This is because vaccine supply chains have unique characteristics, such as population vulnerability, storage requirements, vaccine hesitancy,</w:t>
      </w:r>
      <w:r>
        <w:t xml:space="preserve"> and </w:t>
      </w:r>
      <w:r w:rsidRPr="00FB606F">
        <w:t>the need for widespread distribution</w:t>
      </w:r>
      <w:r>
        <w:t>,</w:t>
      </w:r>
      <w:r>
        <w:rPr>
          <w:rFonts w:ascii="Georgia" w:hAnsi="Georgia"/>
          <w:color w:val="2E2E2E"/>
        </w:rPr>
        <w:t xml:space="preserve"> </w:t>
      </w:r>
      <w:r w:rsidRPr="0027169E">
        <w:t>which need to be taken into consideration</w:t>
      </w:r>
      <w:r>
        <w:t xml:space="preserve"> </w:t>
      </w:r>
      <w:r>
        <w:fldChar w:fldCharType="begin" w:fldLock="1"/>
      </w:r>
      <w:r w:rsidR="00317095">
        <w:instrText>ADDIN CSL_CITATION {"citationItems":[{"id":"ITEM-1","itemData":{"DOI":"10.1080/00207543.2022.2110014","ISSN":"1366588X","abstract":"Given the scarcity of COVID-19 vaccines, equitable (fair) allocation of limited vaccines across the main administrative units of a country (e.g. municipalities) has been an important concern for public health authorities worldwide. In this study, we address the equitable allocation of the COVID-19 vaccines inside countries by developing a novel, evidence-based mathematical model that accounts for multiple priority groups (e.g. elderly, healthcare workers), multiple vaccine types, and regional characteristics (e.g. storage capacities, infection risk levels). Our research contributes to the literature by developing and validating a model that proposes equitable vaccine allocation alternatives in a very short time by (a) minimising deviations from the so-called ‘fair coverage’ levels that are computed based on weighted pro-rata rations, and (b) imposing minimum coverage thresholds to control the allocation of vaccines to higher priority groups and regions. To describe the merits of our model, we provide several equity and effectiveness metrics, and present insights on different allocation policies. We compare our methodology with similar models in the literature and show its better performance in achieving equity. To illustrate the performance of our model in practice, we perform a comprehensive numerical study based on actual data corresponding to the early vaccination period in Turkey.","author":[{"dropping-particle":"","family":"Balcik","given":"Burcu","non-dropping-particle":"","parse-names":false,"suffix":""},{"dropping-particle":"","family":"Yucesoy","given":"Ecem","non-dropping-particle":"","parse-names":false,"suffix":""},{"dropping-particle":"","family":"Akca","given":"Berna","non-dropping-particle":"","parse-names":false,"suffix":""},{"dropping-particle":"","family":"Karakaya","given":"Sirma","non-dropping-particle":"","parse-names":false,"suffix":""},{"dropping-particle":"","family":"Gevsek","given":"Asena A.","non-dropping-particle":"","parse-names":false,"suffix":""},{"dropping-particle":"","family":"Baharmand","given":"Hossein","non-dropping-particle":"","parse-names":false,"suffix":""},{"dropping-particle":"","family":"Sgarbossa","given":"Fabio","non-dropping-particle":"","parse-names":false,"suffix":""}],"container-title":"International Journal of Production Research","id":"ITEM-1","issue":"24","issued":{"date-parts":[["2022"]]},"page":"7502-7526","publisher":"Taylor &amp; Francis","title":"A mathematical model for equitable in-country COVID-19 vaccine allocation","type":"article-journal","volume":"60"},"uris":["http://www.mendeley.com/documents/?uuid=8ce9a6fe-30ed-4a4c-ab45-c23c74234d3a"]},{"id":"ITEM-2","itemData":{"DOI":"10.1016/j.omega.2023.102898","ISSN":"0305-0483","author":[{"dropping-particle":"","family":"Orgut","given":"Irem Sengul","non-dropping-particle":"","parse-names":false,"suffix":""},{"dropping-particle":"","family":"Freeman","given":"Nickolas","non-dropping-particle":"","parse-names":false,"suffix":""},{"dropping-particle":"","family":"Lewis","given":"Dwight","non-dropping-particle":"","parse-names":false,"suffix":""},{"dropping-particle":"","family":"Parton","given":"Jason","non-dropping-particle":"","parse-names":false,"suffix":""}],"container-title":"Omega","id":"ITEM-2","issued":{"date-parts":[["2023"]]},"page":"102898","publisher":"Elsevier Ltd","title":"Equitable and Effective Vaccine Access Considering Vaccine Hesitancy and Capacity Constraints","type":"article-journal"},"uris":["http://www.mendeley.com/documents/?uuid=fd23d274-6471-4b2e-b1de-8633b6c76c0c"]}],"mendeley":{"formattedCitation":"(Balcik et al., 2022; Orgut et al., 2023)","plainTextFormattedCitation":"(Balcik et al., 2022; Orgut et al., 2023)","previouslyFormattedCitation":"(Balcik et al., 2022; Orgut et al., 2023)"},"properties":{"noteIndex":0},"schema":"https://github.com/citation-style-language/schema/raw/master/csl-citation.json"}</w:instrText>
      </w:r>
      <w:r>
        <w:fldChar w:fldCharType="separate"/>
      </w:r>
      <w:r w:rsidR="008D2835" w:rsidRPr="008D2835">
        <w:rPr>
          <w:noProof/>
        </w:rPr>
        <w:t>(Balcik et al., 2022; Orgut et al., 2023)</w:t>
      </w:r>
      <w:r>
        <w:fldChar w:fldCharType="end"/>
      </w:r>
      <w:r w:rsidRPr="0027169E">
        <w:t>.</w:t>
      </w:r>
      <w:r w:rsidR="00530683">
        <w:t xml:space="preserve"> The CDC recommends utilizing </w:t>
      </w:r>
      <w:r w:rsidR="00530683" w:rsidRPr="00D5502F">
        <w:t xml:space="preserve">Social Vulnerability Index (SVI) </w:t>
      </w:r>
      <w:r w:rsidR="00530683">
        <w:t xml:space="preserve">to evaluate potential negative impact on communities caused by external factors that affect human health </w:t>
      </w:r>
      <w:r w:rsidR="00530683">
        <w:fldChar w:fldCharType="begin" w:fldLock="1"/>
      </w:r>
      <w:r w:rsidR="00317095">
        <w:instrText>ADDIN CSL_CITATION {"citationItems":[{"id":"ITEM-1","itemData":{"URL":"https://www.cdc.gov/coronavirus/2019-ncov/community/health-equity/vaccine-equity.html","accessed":{"date-parts":[["2023","6","4"]]},"author":[{"dropping-particle":"","family":"CDC","given":"","non-dropping-particle":"","parse-names":false,"suffix":""}],"container-title":"Centers for Disease Control and Prevention","id":"ITEM-1","issued":{"date-parts":[["2022"]]},"title":"COVID-19 Vaccine Equity for Racial and Ethnic Minority Groups","type":"webpage"},"uris":["http://www.mendeley.com/documents/?uuid=d13abb7d-66b4-3769-852e-c6440c90ce0c"]}],"mendeley":{"formattedCitation":"(CDC, 2022b)","plainTextFormattedCitation":"(CDC, 2022b)","previouslyFormattedCitation":"(CDC, 2022b)"},"properties":{"noteIndex":0},"schema":"https://github.com/citation-style-language/schema/raw/master/csl-citation.json"}</w:instrText>
      </w:r>
      <w:r w:rsidR="00530683">
        <w:fldChar w:fldCharType="separate"/>
      </w:r>
      <w:r w:rsidR="008D2835" w:rsidRPr="008D2835">
        <w:rPr>
          <w:noProof/>
        </w:rPr>
        <w:t>(CDC, 2022b)</w:t>
      </w:r>
      <w:r w:rsidR="00530683">
        <w:fldChar w:fldCharType="end"/>
      </w:r>
      <w:r w:rsidR="00530683">
        <w:t xml:space="preserve">. </w:t>
      </w:r>
    </w:p>
    <w:p w14:paraId="0BE34E02" w14:textId="41F21D7E" w:rsidR="00B95CFE" w:rsidRDefault="00B95CFE" w:rsidP="00860F5E">
      <w:r>
        <w:t xml:space="preserve">Researchers have used different approaches to measure social equity in vaccine distribution. </w:t>
      </w:r>
      <w:r w:rsidR="00860F5E" w:rsidRPr="007437D8">
        <w:fldChar w:fldCharType="begin" w:fldLock="1"/>
      </w:r>
      <w:r w:rsidR="00317095">
        <w:instrText>ADDIN CSL_CITATION {"citationItems":[{"id":"ITEM-1","itemData":{"DOI":"10.1080/0740817X.2013.813094","ISSN":"15458830","abstract":"In many developing countries, inefficiencies in the supply chain for the World Health Organization's Expanded Program on Immunization (EPI) vaccines are of grave concern; these inefficiencies result in thousands of people not being fully immunized and creates significant risk of disease epidemics. Thus, there is a great deal of interest in these countries in building tools to analyze and optimize how vaccines flow down several levels of the supply chain from manufacturers to vaccine recipients. This article develops a mathematical model for typical vaccine distribution networks in developing countries. This model has been successfully adapted for supply chains in three different countries (Niger, Thailand, and Vietnam), and its application to several issues of interest to public health administrators in developing countries is discussed. Copyright © IIE.","author":[{"dropping-particle":"","family":"Chen","given":"Sheng I.","non-dropping-particle":"","parse-names":false,"suffix":""},{"dropping-particle":"","family":"Norman","given":"Bryan A.","non-dropping-particle":"","parse-names":false,"suffix":""},{"dropping-particle":"","family":"Rajgopal","given":"Jayant","non-dropping-particle":"","parse-names":false,"suffix":""},{"dropping-particle":"","family":"Assi","given":"Tina M.","non-dropping-particle":"","parse-names":false,"suffix":""},{"dropping-particle":"","family":"Lee","given":"Bruce Y.","non-dropping-particle":"","parse-names":false,"suffix":""},{"dropping-particle":"","family":"Brown","given":"Shawn T.","non-dropping-particle":"","parse-names":false,"suffix":""}],"container-title":"IIE Transactions (Institute of Industrial Engineers)","id":"ITEM-1","issue":"8","issued":{"date-parts":[["2014"]]},"page":"853-865","title":"A planning model for the WHO-EPI vaccine distribution network in developing countries","type":"article-journal","volume":"46"},"uris":["http://www.mendeley.com/documents/?uuid=1c4f2ee4-2298-47fe-852c-704b01d2b9f3"]}],"mendeley":{"formattedCitation":"(S. I. Chen et al., 2014)","plainTextFormattedCitation":"(S. I. Chen et al., 2014)","previouslyFormattedCitation":"(S. I. Chen et al., 2014)"},"properties":{"noteIndex":0},"schema":"https://github.com/citation-style-language/schema/raw/master/csl-citation.json"}</w:instrText>
      </w:r>
      <w:r w:rsidR="00860F5E" w:rsidRPr="007437D8">
        <w:fldChar w:fldCharType="separate"/>
      </w:r>
      <w:r w:rsidR="008D2835" w:rsidRPr="008D2835">
        <w:rPr>
          <w:noProof/>
        </w:rPr>
        <w:t>(S. I. Chen et al., 2014)</w:t>
      </w:r>
      <w:r w:rsidR="00860F5E" w:rsidRPr="007437D8">
        <w:fldChar w:fldCharType="end"/>
      </w:r>
      <w:r w:rsidR="00860F5E" w:rsidRPr="007437D8">
        <w:t xml:space="preserve"> conducted a study focusing on the problem of </w:t>
      </w:r>
      <w:r w:rsidR="00860F5E">
        <w:t xml:space="preserve">vaccine </w:t>
      </w:r>
      <w:r w:rsidR="00860F5E" w:rsidRPr="007437D8">
        <w:t>allocation and inventory management in developing nations with the aim of enhancing the vaccination coverage of children. To ensure fairness, they set specific requirements on the minimum vaccination rate that each facility should achieve during different time periods.</w:t>
      </w:r>
      <w:r w:rsidR="00860F5E">
        <w:t xml:space="preserve"> </w:t>
      </w:r>
      <w:r w:rsidR="002850F7" w:rsidRPr="00B06351">
        <w:t xml:space="preserve">In 2019, </w:t>
      </w:r>
      <w:r w:rsidR="002850F7">
        <w:fldChar w:fldCharType="begin" w:fldLock="1"/>
      </w:r>
      <w:r w:rsidR="00317095">
        <w:instrText>ADDIN CSL_CITATION {"citationItems":[{"id":"ITEM-1","itemData":{"DOI":"10.1016/j.tra.2018.04.005","ISSN":"09658564","abstract":"In recent years, researchers have developed new methods to measure how transport decisions affect different groups of society. An example is the distribution of impacts (benefits and costs) from roadway investments, and the degree that the results are considered equitable (also called fair or just). Such decisions affect people's ability to access services and activities, and therefore their economic opportunities and development. This study suggests ways of incorporating social equity measures in transportation network planning. It describes various equity impacts that can result from transportation planning decisions, discusses various social equity concepts and theories, reviews previous attempts to incorporate equity considerations into transport networks modeling, and suggests a framework for simultaneously optimizing network design and achieving social equity objectives. According to this framework, network design can be formulated using bi-level integer programming models corresponding to seven major social equity approaches along with the classical approach of “Total Travel Time Minimization.” An accessibility variable is used as the distributable benefit. This approach is more comprehensive and flexible than previous equity impact models. The proposed framework can be used to evaluate and optimize the equity impacts of various infrastructure investment decisions.","author":[{"dropping-particle":"","family":"Behbahani","given":"Hamid","non-dropping-particle":"","parse-names":false,"suffix":""},{"dropping-particle":"","family":"Nazari","given":"Sobhan","non-dropping-particle":"","parse-names":false,"suffix":""},{"dropping-particle":"","family":"Jafari Kang","given":"Masood","non-dropping-particle":"","parse-names":false,"suffix":""},{"dropping-particle":"","family":"Litman","given":"Todd","non-dropping-particle":"","parse-names":false,"suffix":""}],"container-title":"Transportation Research Part A: Policy and Practice","id":"ITEM-1","issue":"April 2018","issued":{"date-parts":[["2019"]]},"page":"171-183","publisher":"Elsevier","title":"A conceptual framework to formulate transportation network design problem considering social equity criteria","type":"article-journal","volume":"125"},"uris":["http://www.mendeley.com/documents/?uuid=237be5b0-029d-43c6-ad27-58e32d58d933"]}],"mendeley":{"formattedCitation":"(Behbahani et al., 2019)","plainTextFormattedCitation":"(Behbahani et al., 2019)","previouslyFormattedCitation":"(Behbahani et al., 2019)"},"properties":{"noteIndex":0},"schema":"https://github.com/citation-style-language/schema/raw/master/csl-citation.json"}</w:instrText>
      </w:r>
      <w:r w:rsidR="002850F7">
        <w:fldChar w:fldCharType="separate"/>
      </w:r>
      <w:r w:rsidR="008D2835" w:rsidRPr="008D2835">
        <w:rPr>
          <w:noProof/>
        </w:rPr>
        <w:t>(Behbahani et al., 2019)</w:t>
      </w:r>
      <w:r w:rsidR="002850F7">
        <w:fldChar w:fldCharType="end"/>
      </w:r>
      <w:r w:rsidR="002850F7" w:rsidRPr="00B06351">
        <w:t xml:space="preserve"> </w:t>
      </w:r>
      <w:r w:rsidR="002850F7">
        <w:t>proposed</w:t>
      </w:r>
      <w:r w:rsidR="002850F7" w:rsidRPr="00B06351">
        <w:t xml:space="preserve"> a mathematical way to represent different social equity theories and demonstrated their application in designing transportation networks. </w:t>
      </w:r>
      <w:r w:rsidR="002850F7" w:rsidRPr="00E8521D">
        <w:fldChar w:fldCharType="begin" w:fldLock="1"/>
      </w:r>
      <w:r w:rsidR="00317095">
        <w:instrText>ADDIN CSL_CITATION {"citationItems":[{"id":"ITEM-1","itemData":{"DOI":"10.1016/j.ejor.2019.11.025","abstract":"This paper is concerned with the optimal influenza vaccine distribution in a heterogeneous population consisting of multiple subgroups. We employ a compartmental model for influenza transmission and formulate a mathematical program to minimize the number of vaccine doses distributed to effectively extinguish an emerging outbreak in its early stages. We propose an equity constraint to help public health authorities consider fairness when making vaccine distribution decisions. We develop an exact solution approach that generates a vaccine distribution policy with a solution quality guarantee. We perform sensitivity analyses on key epidemic parameters in order to illustrate the application of the proposed model. We then analyze the scalability of the solution approach for a population consisting of subgroups based on geographic location and age. We finally demonstrate the proposed model's ability to consider vaccine coverage inequity and discuss a derivative-free optimization approach, as an alternative solution method which can consider various different objective functions and constraints. Our results indicate that consideration of group-specific transmission dynamics is paramount to the optimal distribution of influenza vaccines.","author":[{"dropping-particle":"","family":"Enayati","given":"Shakiba","non-dropping-particle":"","parse-names":false,"suffix":""},{"dropping-particle":"","family":"Özaltın","given":"Osman Y","non-dropping-particle":"","parse-names":false,"suffix":""}],"container-title":"European Journal of Operational Research","id":"ITEM-1","issued":{"date-parts":[["2020"]]},"page":"714-725","title":"Optimal influenza vaccine distribution with equity","type":"article-journal","volume":"283"},"uris":["http://www.mendeley.com/documents/?uuid=04f35779-9538-3dd9-9a56-5cd96ae7e68b"]}],"mendeley":{"formattedCitation":"(Enayati &amp; Özaltın, 2020)","plainTextFormattedCitation":"(Enayati &amp; Özaltın, 2020)","previouslyFormattedCitation":"(Enayati &amp; Özaltın, 2020)"},"properties":{"noteIndex":0},"schema":"https://github.com/citation-style-language/schema/raw/master/csl-citation.json"}</w:instrText>
      </w:r>
      <w:r w:rsidR="002850F7" w:rsidRPr="00E8521D">
        <w:fldChar w:fldCharType="separate"/>
      </w:r>
      <w:r w:rsidR="008D2835" w:rsidRPr="008D2835">
        <w:rPr>
          <w:noProof/>
        </w:rPr>
        <w:t>(Enayati &amp; Özaltın, 2020)</w:t>
      </w:r>
      <w:r w:rsidR="002850F7" w:rsidRPr="00E8521D">
        <w:fldChar w:fldCharType="end"/>
      </w:r>
      <w:r w:rsidR="002850F7">
        <w:t xml:space="preserve"> proposed a</w:t>
      </w:r>
      <w:r w:rsidR="002850F7" w:rsidRPr="00843EFF">
        <w:t xml:space="preserve"> mathematical programming model for fair distribution of influenza vaccines. They divided the population into multiple subgroups and the required vaccines were distributed to each subgroup in an equitable manner to prevent epidemic outbreaks. </w:t>
      </w:r>
      <w:r w:rsidR="002850F7">
        <w:t>In order to promoting equity among subgroups,</w:t>
      </w:r>
      <w:r w:rsidR="002850F7" w:rsidRPr="0018747A">
        <w:t xml:space="preserve"> e.g., geographic regions and age groups</w:t>
      </w:r>
      <w:r w:rsidR="002850F7">
        <w:t xml:space="preserve">, the authors </w:t>
      </w:r>
      <w:r w:rsidR="002850F7" w:rsidRPr="00830970">
        <w:t>utilized the Gini coefficient</w:t>
      </w:r>
      <w:r w:rsidR="002850F7">
        <w:t xml:space="preserve"> as </w:t>
      </w:r>
      <w:r>
        <w:t>an</w:t>
      </w:r>
      <w:r w:rsidR="002850F7">
        <w:t xml:space="preserve"> </w:t>
      </w:r>
      <w:r w:rsidR="002850F7" w:rsidRPr="00830970">
        <w:t>upper bound</w:t>
      </w:r>
      <w:r w:rsidR="002850F7">
        <w:t>ed</w:t>
      </w:r>
      <w:r w:rsidR="002850F7" w:rsidRPr="00830970">
        <w:t xml:space="preserve"> constraint</w:t>
      </w:r>
      <w:r w:rsidR="002850F7">
        <w:t xml:space="preserve"> in their </w:t>
      </w:r>
      <w:r w:rsidR="002850F7" w:rsidRPr="00830970">
        <w:t>influenza vaccines</w:t>
      </w:r>
      <w:r w:rsidR="002850F7">
        <w:t xml:space="preserve"> allocation</w:t>
      </w:r>
      <w:r w:rsidR="002850F7" w:rsidRPr="00830970">
        <w:t xml:space="preserve"> epidemic model.</w:t>
      </w:r>
      <w:r>
        <w:t xml:space="preserve"> </w:t>
      </w:r>
    </w:p>
    <w:p w14:paraId="7EAB9D63" w14:textId="7BD593A2" w:rsidR="002850F7" w:rsidRDefault="002850F7" w:rsidP="005434E0">
      <w:r w:rsidRPr="00E8521D">
        <w:t xml:space="preserve">The Gini coefficient is a commonly used economic concept and is widely recognized as one of the most popular measures of equity in social welfare literature </w:t>
      </w:r>
      <w:r w:rsidRPr="00E8521D">
        <w:fldChar w:fldCharType="begin" w:fldLock="1"/>
      </w:r>
      <w:r w:rsidR="00317095">
        <w:instrText>ADDIN CSL_CITATION {"citationItems":[{"id":"ITEM-1","itemData":{"ISSN":"0377-2217","author":[{"dropping-particle":"","family":"Marsh","given":"Michael T","non-dropping-particle":"","parse-names":false,"suffix":""},{"dropping-particle":"","family":"Schilling","given":"David A","non-dropping-particle":"","parse-names":false,"suffix":""}],"container-title":"European journal of operational research","id":"ITEM-1","issue":"1","issued":{"date-parts":[["1994"]]},"page":"1-17","publisher":"Elsevier","title":"Equity measurement in facility location analysis: A review and framework","type":"article-journal","volume":"74"},"uris":["http://www.mendeley.com/documents/?uuid=762fa834-d438-4c54-ba9f-0a4da56fc3ff"]}],"mendeley":{"formattedCitation":"(Marsh &amp; Schilling, 1994)","plainTextFormattedCitation":"(Marsh &amp; Schilling, 1994)","previouslyFormattedCitation":"(Marsh &amp; Schilling, 1994)"},"properties":{"noteIndex":0},"schema":"https://github.com/citation-style-language/schema/raw/master/csl-citation.json"}</w:instrText>
      </w:r>
      <w:r w:rsidRPr="00E8521D">
        <w:fldChar w:fldCharType="separate"/>
      </w:r>
      <w:r w:rsidR="008D2835" w:rsidRPr="008D2835">
        <w:rPr>
          <w:noProof/>
        </w:rPr>
        <w:t>(Marsh &amp; Schilling, 1994)</w:t>
      </w:r>
      <w:r w:rsidRPr="00E8521D">
        <w:fldChar w:fldCharType="end"/>
      </w:r>
      <w:r w:rsidRPr="00E8521D">
        <w:t xml:space="preserve">. It was initially introduced by </w:t>
      </w:r>
      <w:r w:rsidRPr="00E8521D">
        <w:fldChar w:fldCharType="begin" w:fldLock="1"/>
      </w:r>
      <w:r w:rsidR="00317095">
        <w:instrText>ADDIN CSL_CITATION {"citationItems":[{"id":"ITEM-1","itemData":{"ISSN":"0391-6170","author":[{"dropping-particle":"","family":"Gini","given":"Corrado","non-dropping-particle":"","parse-names":false,"suffix":""}],"container-title":"Rivista di politica economica","id":"ITEM-1","issued":{"date-parts":[["1997"]]},"page":"769-792","title":"Concentration and dependency ratios","type":"article-journal","volume":"87"},"uris":["http://www.mendeley.com/documents/?uuid=1d615262-e6e4-41fe-bb51-c63317b1d6f2"]}],"mendeley":{"formattedCitation":"(Gini, 1997)","plainTextFormattedCitation":"(Gini, 1997)","previouslyFormattedCitation":"(Gini, 1997)"},"properties":{"noteIndex":0},"schema":"https://github.com/citation-style-language/schema/raw/master/csl-citation.json"}</w:instrText>
      </w:r>
      <w:r w:rsidRPr="00E8521D">
        <w:fldChar w:fldCharType="separate"/>
      </w:r>
      <w:r w:rsidR="008D2835" w:rsidRPr="008D2835">
        <w:rPr>
          <w:noProof/>
        </w:rPr>
        <w:t>(Gini, 1997)</w:t>
      </w:r>
      <w:r w:rsidRPr="00E8521D">
        <w:fldChar w:fldCharType="end"/>
      </w:r>
      <w:r w:rsidRPr="00E8521D">
        <w:t xml:space="preserve"> to tackle income inequality. The coefficient ranges from zero, indicating perfect equity where everyone has the same income, to one, indicating perfect inequity where one person receives all the income.</w:t>
      </w:r>
      <w:r w:rsidR="00C2296B">
        <w:t xml:space="preserve"> </w:t>
      </w:r>
      <w:r w:rsidRPr="00830970">
        <w:t>A significant limitation of the Gini coefficient is its failure to account for the susceptibility of various subgroups to diseases</w:t>
      </w:r>
      <w:r>
        <w:t xml:space="preserve"> </w:t>
      </w:r>
      <w:r w:rsidRPr="00E8521D">
        <w:fldChar w:fldCharType="begin" w:fldLock="1"/>
      </w:r>
      <w:r w:rsidR="00317095">
        <w:instrText>ADDIN CSL_CITATION {"citationItems":[{"id":"ITEM-1","itemData":{"DOI":"10.1016/j.ejor.2019.11.025","abstract":"This paper is concerned with the optimal influenza vaccine distribution in a heterogeneous population consisting of multiple subgroups. We employ a compartmental model for influenza transmission and formulate a mathematical program to minimize the number of vaccine doses distributed to effectively extinguish an emerging outbreak in its early stages. We propose an equity constraint to help public health authorities consider fairness when making vaccine distribution decisions. We develop an exact solution approach that generates a vaccine distribution policy with a solution quality guarantee. We perform sensitivity analyses on key epidemic parameters in order to illustrate the application of the proposed model. We then analyze the scalability of the solution approach for a population consisting of subgroups based on geographic location and age. We finally demonstrate the proposed model's ability to consider vaccine coverage inequity and discuss a derivative-free optimization approach, as an alternative solution method which can consider various different objective functions and constraints. Our results indicate that consideration of group-specific transmission dynamics is paramount to the optimal distribution of influenza vaccines.","author":[{"dropping-particle":"","family":"Enayati","given":"Shakiba","non-dropping-particle":"","parse-names":false,"suffix":""},{"dropping-particle":"","family":"Özaltın","given":"Osman Y","non-dropping-particle":"","parse-names":false,"suffix":""}],"container-title":"European Journal of Operational Research","id":"ITEM-1","issued":{"date-parts":[["2020"]]},"page":"714-725","title":"Optimal influenza vaccine distribution with equity","type":"article-journal","volume":"283"},"uris":["http://www.mendeley.com/documents/?uuid=04f35779-9538-3dd9-9a56-5cd96ae7e68b"]}],"mendeley":{"formattedCitation":"(Enayati &amp; Özaltın, 2020)","plainTextFormattedCitation":"(Enayati &amp; Özaltın, 2020)","previouslyFormattedCitation":"(Enayati &amp; Özaltın, 2020)"},"properties":{"noteIndex":0},"schema":"https://github.com/citation-style-language/schema/raw/master/csl-citation.json"}</w:instrText>
      </w:r>
      <w:r w:rsidRPr="00E8521D">
        <w:fldChar w:fldCharType="separate"/>
      </w:r>
      <w:r w:rsidR="008D2835" w:rsidRPr="008D2835">
        <w:rPr>
          <w:noProof/>
        </w:rPr>
        <w:t>(Enayati &amp; Özaltın, 2020)</w:t>
      </w:r>
      <w:r w:rsidRPr="00E8521D">
        <w:fldChar w:fldCharType="end"/>
      </w:r>
      <w:r w:rsidRPr="00830970">
        <w:t>.</w:t>
      </w:r>
    </w:p>
    <w:p w14:paraId="0E00F60A" w14:textId="34A5F076" w:rsidR="00D74740" w:rsidRPr="000941B8" w:rsidRDefault="00D74740" w:rsidP="00D74740">
      <w:r>
        <w:fldChar w:fldCharType="begin" w:fldLock="1"/>
      </w:r>
      <w:r w:rsidR="00317095">
        <w:instrText>ADDIN CSL_CITATION {"citationItems":[{"id":"ITEM-1","itemData":{"author":[{"dropping-particle":"","family":"Bertsimas","given":"Dimitris","non-dropping-particle":"","parse-names":false,"suffix":""},{"dropping-particle":"","family":"Ivanhoe","given":"Joshua","non-dropping-particle":"","parse-names":false,"suffix":""},{"dropping-particle":"","family":"Jacquillat","given":"Alexandre","non-dropping-particle":"","parse-names":false,"suffix":""},{"dropping-particle":"","family":"Li","given":"Michael","non-dropping-particle":"","parse-names":false,"suffix":""},{"dropping-particle":"","family":"Previero","given":"Alessandro","non-dropping-particle":"","parse-names":false,"suffix":""},{"dropping-particle":"","family":"Lami","given":"Omar Skali","non-dropping-particle":"","parse-names":false,"suffix":""},{"dropping-particle":"","family":"Bouardi","given":"Hamza Tazi","non-dropping-particle":"","parse-names":false,"suffix":""}],"container-title":"MedRxiv","id":"ITEM-1","issued":{"date-parts":[["2020"]]},"page":"2011-2020","publisher":"Cold Spring Harbor Laboratory Press","title":"Optimizing vaccine allocation to combat the COVID-19 pandemic","type":"article-journal"},"uris":["http://www.mendeley.com/documents/?uuid=c41b97b6-6921-4233-84fc-57df24a6981d"]}],"mendeley":{"formattedCitation":"(Bertsimas et al., 2020)","plainTextFormattedCitation":"(Bertsimas et al., 2020)","previouslyFormattedCitation":"(Bertsimas et al., 2020)"},"properties":{"noteIndex":0},"schema":"https://github.com/citation-style-language/schema/raw/master/csl-citation.json"}</w:instrText>
      </w:r>
      <w:r>
        <w:fldChar w:fldCharType="separate"/>
      </w:r>
      <w:r w:rsidR="008D2835" w:rsidRPr="008D2835">
        <w:rPr>
          <w:noProof/>
        </w:rPr>
        <w:t>(Bertsimas et al., 2020)</w:t>
      </w:r>
      <w:r>
        <w:fldChar w:fldCharType="end"/>
      </w:r>
      <w:r>
        <w:t xml:space="preserve"> </w:t>
      </w:r>
      <w:r w:rsidRPr="008B69E5">
        <w:t xml:space="preserve">introduced an approach that combines predictive and prescriptive techniques to allocate vaccines during the COVID-19 pandemic, utilizing U.S. data. Their objective was to enhance fairness in vaccine distribution by allocating vaccines to a proportion of </w:t>
      </w:r>
      <w:r w:rsidRPr="008B69E5">
        <w:lastRenderedPageBreak/>
        <w:t xml:space="preserve">the eligible susceptible population. </w:t>
      </w:r>
      <w:r>
        <w:t xml:space="preserve">In an extension work, </w:t>
      </w:r>
      <w:r w:rsidRPr="000941B8">
        <w:fldChar w:fldCharType="begin" w:fldLock="1"/>
      </w:r>
      <w:r w:rsidR="00317095">
        <w:instrText>ADDIN CSL_CITATION {"citationItems":[{"id":"ITEM-1","itemData":{"DOI":"10.1002/nav.22007","ISSN":"15206750","abstract":"The outbreak of COVID-19 led to a record-breaking race to develop a vaccine. However, the limited vaccine capacity creates another massive challenge: how to distribute vaccines to mitigate the near-end impact of the pandemic? In the United States in particular, the new Biden administration is launching mass vaccination sites across the country, raising the obvious question of where to locate these clinics to maximize the effectiveness of the vaccination campaign. This paper tackles this question with a novel data-driven approach to optimize COVID-19 vaccine distribution. We first augment a state-of-the-art epidemiological model, called DELPHI, to capture the effects of vaccinations and the variability in mortality rates across age groups. We then integrate this predictive model into a prescriptive model to optimize the location of vaccination sites and subsequent vaccine allocation. The model is formulated as a bilinear, nonconvex optimization model. To solve it, we propose a coordinate descent algorithm that iterates between optimizing vaccine distribution and simulating the dynamics of the pandemic. As compared to benchmarks based on demographic and epidemiological information, the proposed optimization approach increases the effectiveness of the vaccination campaign by an estimated 20%, saving an extra 4000 extra lives in the United States over a 3-month period. The proposed solution achieves critical fairness objectives—by reducing the death toll of the pandemic in several states without hurting others—and is highly robust to uncertainties and forecast errors—by achieving similar benefits under a vast range of perturbations.","author":[{"dropping-particle":"","family":"Bertsimas","given":"Dimitris","non-dropping-particle":"","parse-names":false,"suffix":""},{"dropping-particle":"","family":"Digalakis","given":"Vassilis","non-dropping-particle":"","parse-names":false,"suffix":""},{"dropping-particle":"","family":"Jacquillat","given":"Alexander","non-dropping-particle":"","parse-names":false,"suffix":""},{"dropping-particle":"","family":"Li","given":"Michael Lingzhi","non-dropping-particle":"","parse-names":false,"suffix":""},{"dropping-particle":"","family":"Previero","given":"Alessandro","non-dropping-particle":"","parse-names":false,"suffix":""}],"container-title":"Naval Research Logistics","id":"ITEM-1","issue":"2","issued":{"date-parts":[["2022"]]},"page":"179-200","title":"Where to locate COVID-19 mass vaccination facilities?","type":"article-journal","volume":"69"},"uris":["http://www.mendeley.com/documents/?uuid=ac14cc9e-bab0-4f96-a017-d73c03e14330"]}],"mendeley":{"formattedCitation":"(Bertsimas et al., 2022)","plainTextFormattedCitation":"(Bertsimas et al., 2022)","previouslyFormattedCitation":"(Bertsimas et al., 2022)"},"properties":{"noteIndex":0},"schema":"https://github.com/citation-style-language/schema/raw/master/csl-citation.json"}</w:instrText>
      </w:r>
      <w:r w:rsidRPr="000941B8">
        <w:fldChar w:fldCharType="separate"/>
      </w:r>
      <w:r w:rsidR="008D2835" w:rsidRPr="008D2835">
        <w:rPr>
          <w:noProof/>
        </w:rPr>
        <w:t>(Bertsimas et al., 2022)</w:t>
      </w:r>
      <w:r w:rsidRPr="000941B8">
        <w:fldChar w:fldCharType="end"/>
      </w:r>
      <w:r w:rsidRPr="000941B8">
        <w:t xml:space="preserve"> addressed the issue of determining the optimal locations for COVID-19 vaccination centers in the United States and how to distribute vaccines to these sites. Their focus was on ensuring fairness in the process. They aimed to achieve fairness by: (i) ensuring that the proportion of vaccination sites in each state reflects its population size (II) distributing vaccines across sites in a manner similar to a uniform distribution, and (III) avoiding a significant deviation in the proportion of vaccines allocated to each state compared to its population share. They used a pro rata policy as a benchmark for their analysis. </w:t>
      </w:r>
    </w:p>
    <w:p w14:paraId="6A790010" w14:textId="2A183493" w:rsidR="00860F5E" w:rsidRDefault="00860F5E" w:rsidP="00860F5E">
      <w:r w:rsidRPr="00FC624F">
        <w:fldChar w:fldCharType="begin" w:fldLock="1"/>
      </w:r>
      <w:r w:rsidR="00317095">
        <w:instrText>ADDIN CSL_CITATION {"citationItems":[{"id":"ITEM-1","itemData":{"ISSN":"0264-410X","author":[{"dropping-particle":"","family":"Rastegar","given":"Mehdi","non-dropping-particle":"","parse-names":false,"suffix":""},{"dropping-particle":"","family":"Tavana","given":"Madjid","non-dropping-particle":"","parse-names":false,"suffix":""},{"dropping-particle":"","family":"Meraj","given":"Afshin","non-dropping-particle":"","parse-names":false,"suffix":""},{"dropping-particle":"","family":"Mina","given":"Hassan","non-dropping-particle":"","parse-names":false,"suffix":""}],"container-title":"Vaccine","id":"ITEM-1","issue":"3","issued":{"date-parts":[["2021"]]},"page":"495-504","publisher":"Elsevier","title":"An inventory-location optimization model for equitable influenza vaccine distribution in developing countries during the COVID-19 pandemic","type":"article-journal","volume":"39"},"uris":["http://www.mendeley.com/documents/?uuid=550a3549-32ef-4569-89b3-f71a7eab18bc"]}],"mendeley":{"formattedCitation":"(Rastegar et al., 2021)","plainTextFormattedCitation":"(Rastegar et al., 2021)","previouslyFormattedCitation":"(Rastegar et al., 2021)"},"properties":{"noteIndex":0},"schema":"https://github.com/citation-style-language/schema/raw/master/csl-citation.json"}</w:instrText>
      </w:r>
      <w:r w:rsidRPr="00FC624F">
        <w:fldChar w:fldCharType="separate"/>
      </w:r>
      <w:r w:rsidR="008D2835" w:rsidRPr="008D2835">
        <w:rPr>
          <w:noProof/>
        </w:rPr>
        <w:t>(Rastegar et al., 2021)</w:t>
      </w:r>
      <w:r w:rsidRPr="00FC624F">
        <w:fldChar w:fldCharType="end"/>
      </w:r>
      <w:r>
        <w:t xml:space="preserve"> </w:t>
      </w:r>
      <w:r w:rsidRPr="00624AE1">
        <w:t>propose</w:t>
      </w:r>
      <w:r>
        <w:t>d</w:t>
      </w:r>
      <w:r w:rsidRPr="00624AE1">
        <w:t xml:space="preserve"> a </w:t>
      </w:r>
      <w:r w:rsidRPr="00430867">
        <w:t xml:space="preserve">mixed-integer linear programming model for location allocation problem of vaccine distribution in developing countries. They used pro rata policy in the objective function by </w:t>
      </w:r>
      <w:r w:rsidRPr="00624AE1">
        <w:t>maximiz</w:t>
      </w:r>
      <w:r>
        <w:t>ing</w:t>
      </w:r>
      <w:r w:rsidRPr="00624AE1">
        <w:t xml:space="preserve"> the minimum fill rate</w:t>
      </w:r>
      <w:r>
        <w:t xml:space="preserve">, i.e., </w:t>
      </w:r>
      <w:r w:rsidRPr="00624AE1">
        <w:t xml:space="preserve">the number of vaccines allocated </w:t>
      </w:r>
      <w:r>
        <w:t>per</w:t>
      </w:r>
      <w:r w:rsidRPr="00624AE1">
        <w:t xml:space="preserve"> demand</w:t>
      </w:r>
      <w:r>
        <w:t xml:space="preserve">, to ensure fair distribution. </w:t>
      </w:r>
      <w:r w:rsidRPr="00151042">
        <w:t>Additionally, their model considers the minimization of transportation costs to enhance the efficiency of the distribution process.</w:t>
      </w:r>
      <w:r>
        <w:t xml:space="preserve"> </w:t>
      </w:r>
      <w:r>
        <w:fldChar w:fldCharType="begin" w:fldLock="1"/>
      </w:r>
      <w:r w:rsidR="00317095">
        <w:instrText>ADDIN CSL_CITATION {"citationItems":[{"id":"ITEM-1","itemData":{"DOI":"10.1007/S10479-021-04130-Z/TABLES/26","ISSN":"15729338","abstract":"Developing countries scramble to contain and mitigate the spread of coronavirus disease 2019 (COVID-19), and world leaders demand equitable distribution of vaccines to trigger economic recovery. Although numerous strategies, including education, quarantine, and immunization, have been used to control COVID-19, the best method to curb this disease is vaccination. Due to the high demand for COVID 19 vaccine, developing countries must carefully identify and prioritize vulnerable populations and rationalize the vaccine allocation process. This study presents a mixed-integer linear programming model for equitable COVID-19 vaccine distribution in developing countries. Vaccines are grouped into cold, very cold, and ultra-cold categories where specific refrigeration is required for their storage and distribution. The possibility of storage for future periods, facing a shortage, budgetary considerations, manufacturer selection, order allocation, time-dependent capacities, and grouping of the heterogeneous population are among the practical assumptions in the proposed approach. Real-world data is used to demonstrate the efficiency and effectiveness of the mathematical programming approach proposed in this study.","author":[{"dropping-particle":"","family":"Tavana","given":"Madjid","non-dropping-particle":"","parse-names":false,"suffix":""},{"dropping-particle":"","family":"Govindan","given":"Kannan","non-dropping-particle":"","parse-names":false,"suffix":""},{"dropping-particle":"","family":"Nasr","given":"Arash Khalili","non-dropping-particle":"","parse-names":false,"suffix":""},{"dropping-particle":"","family":"Heidary","given":"Mohammad Saeed","non-dropping-particle":"","parse-names":false,"suffix":""},{"dropping-particle":"","family":"Mina","given":"Hassan","non-dropping-particle":"","parse-names":false,"suffix":""}],"container-title":"Annals of Operations Research","id":"ITEM-1","issued":{"date-parts":[["2021","6","3"]]},"page":"1-34","publisher":"Springer","title":"A mathematical programming approach for equitable COVID-19 vaccine distribution in developing countries","type":"article-journal"},"uris":["http://www.mendeley.com/documents/?uuid=6e1340f8-5482-3659-9b17-7a393120b7b5"]}],"mendeley":{"formattedCitation":"(Tavana et al., 2021)","plainTextFormattedCitation":"(Tavana et al., 2021)","previouslyFormattedCitation":"(Tavana et al., 2021)"},"properties":{"noteIndex":0},"schema":"https://github.com/citation-style-language/schema/raw/master/csl-citation.json"}</w:instrText>
      </w:r>
      <w:r>
        <w:fldChar w:fldCharType="separate"/>
      </w:r>
      <w:r w:rsidR="008D2835" w:rsidRPr="008D2835">
        <w:rPr>
          <w:noProof/>
        </w:rPr>
        <w:t>(Tavana et al., 2021)</w:t>
      </w:r>
      <w:r>
        <w:fldChar w:fldCharType="end"/>
      </w:r>
      <w:r>
        <w:t xml:space="preserve"> extended </w:t>
      </w:r>
      <w:r w:rsidRPr="00FC624F">
        <w:fldChar w:fldCharType="begin" w:fldLock="1"/>
      </w:r>
      <w:r w:rsidR="00317095">
        <w:instrText>ADDIN CSL_CITATION {"citationItems":[{"id":"ITEM-1","itemData":{"ISSN":"0264-410X","author":[{"dropping-particle":"","family":"Rastegar","given":"Mehdi","non-dropping-particle":"","parse-names":false,"suffix":""},{"dropping-particle":"","family":"Tavana","given":"Madjid","non-dropping-particle":"","parse-names":false,"suffix":""},{"dropping-particle":"","family":"Meraj","given":"Afshin","non-dropping-particle":"","parse-names":false,"suffix":""},{"dropping-particle":"","family":"Mina","given":"Hassan","non-dropping-particle":"","parse-names":false,"suffix":""}],"container-title":"Vaccine","id":"ITEM-1","issue":"3","issued":{"date-parts":[["2021"]]},"page":"495-504","publisher":"Elsevier","title":"An inventory-location optimization model for equitable influenza vaccine distribution in developing countries during the COVID-19 pandemic","type":"article-journal","volume":"39"},"uris":["http://www.mendeley.com/documents/?uuid=550a3549-32ef-4569-89b3-f71a7eab18bc"]}],"mendeley":{"formattedCitation":"(Rastegar et al., 2021)","plainTextFormattedCitation":"(Rastegar et al., 2021)","previouslyFormattedCitation":"(Rastegar et al., 2021)"},"properties":{"noteIndex":0},"schema":"https://github.com/citation-style-language/schema/raw/master/csl-citation.json"}</w:instrText>
      </w:r>
      <w:r w:rsidRPr="00FC624F">
        <w:fldChar w:fldCharType="separate"/>
      </w:r>
      <w:r w:rsidR="008D2835" w:rsidRPr="008D2835">
        <w:rPr>
          <w:noProof/>
        </w:rPr>
        <w:t>(Rastegar et al., 2021)</w:t>
      </w:r>
      <w:r w:rsidRPr="00FC624F">
        <w:fldChar w:fldCharType="end"/>
      </w:r>
      <w:r>
        <w:t xml:space="preserve"> model by accounting for </w:t>
      </w:r>
      <w:r w:rsidRPr="00DE79F4">
        <w:t>budget</w:t>
      </w:r>
      <w:r>
        <w:t xml:space="preserve"> </w:t>
      </w:r>
      <w:r w:rsidRPr="00DE79F4">
        <w:t xml:space="preserve">limitations, management of the cold supply chain, prioritization of individuals in the community, and </w:t>
      </w:r>
      <w:r>
        <w:t xml:space="preserve">vaccine order lead time. </w:t>
      </w:r>
    </w:p>
    <w:p w14:paraId="7A279542" w14:textId="568CEE96" w:rsidR="00D74740" w:rsidRPr="00C120AA" w:rsidRDefault="00C2296B" w:rsidP="00E357C1">
      <w:r w:rsidRPr="00B06351">
        <w:t xml:space="preserve">In 2022, </w:t>
      </w:r>
      <w:r>
        <w:fldChar w:fldCharType="begin" w:fldLock="1"/>
      </w:r>
      <w:r w:rsidR="00317095">
        <w:instrText>ADDIN CSL_CITATION {"citationItems":[{"id":"ITEM-1","itemData":{"DOI":"10.1016/j.ijpe.2022.108684","ISSN":"0925-5273","author":[{"dropping-particle":"","family":"Dastgoshade","given":"Sohaib","non-dropping-particle":"","parse-names":false,"suffix":""},{"dropping-particle":"","family":"Shafiee","given":"Mohammad","non-dropping-particle":"","parse-names":false,"suffix":""},{"dropping-particle":"","family":"Klibi","given":"Walid","non-dropping-particle":"","parse-names":false,"suffix":""},{"dropping-particle":"","family":"Shishebori","given":"Davood","non-dropping-particle":"","parse-names":false,"suffix":""}],"container-title":"International Journal of Production Economics","id":"ITEM-1","issue":"June","issued":{"date-parts":[["2022"]]},"page":"108684","publisher":"Elsevier B.V.","title":"Social equity-based distribution networks design for the COVID-19 vaccine","type":"article-journal","volume":"250"},"uris":["http://www.mendeley.com/documents/?uuid=46c34dd5-12ca-49f8-b0f7-69838298a1d1"]}],"mendeley":{"formattedCitation":"(Dastgoshade et al., 2022)","plainTextFormattedCitation":"(Dastgoshade et al., 2022)","previouslyFormattedCitation":"(Dastgoshade et al., 2022)"},"properties":{"noteIndex":0},"schema":"https://github.com/citation-style-language/schema/raw/master/csl-citation.json"}</w:instrText>
      </w:r>
      <w:r>
        <w:fldChar w:fldCharType="separate"/>
      </w:r>
      <w:r w:rsidR="008D2835" w:rsidRPr="008D2835">
        <w:rPr>
          <w:noProof/>
        </w:rPr>
        <w:t>(Dastgoshade et al., 2022)</w:t>
      </w:r>
      <w:r>
        <w:fldChar w:fldCharType="end"/>
      </w:r>
      <w:r>
        <w:t xml:space="preserve"> </w:t>
      </w:r>
      <w:r w:rsidRPr="00B06351">
        <w:t xml:space="preserve">expanded on </w:t>
      </w:r>
      <w:r>
        <w:fldChar w:fldCharType="begin" w:fldLock="1"/>
      </w:r>
      <w:r w:rsidR="00317095">
        <w:instrText>ADDIN CSL_CITATION {"citationItems":[{"id":"ITEM-1","itemData":{"DOI":"10.1016/j.tra.2018.04.005","ISSN":"09658564","abstract":"In recent years, researchers have developed new methods to measure how transport decisions affect different groups of society. An example is the distribution of impacts (benefits and costs) from roadway investments, and the degree that the results are considered equitable (also called fair or just). Such decisions affect people's ability to access services and activities, and therefore their economic opportunities and development. This study suggests ways of incorporating social equity measures in transportation network planning. It describes various equity impacts that can result from transportation planning decisions, discusses various social equity concepts and theories, reviews previous attempts to incorporate equity considerations into transport networks modeling, and suggests a framework for simultaneously optimizing network design and achieving social equity objectives. According to this framework, network design can be formulated using bi-level integer programming models corresponding to seven major social equity approaches along with the classical approach of “Total Travel Time Minimization.” An accessibility variable is used as the distributable benefit. This approach is more comprehensive and flexible than previous equity impact models. The proposed framework can be used to evaluate and optimize the equity impacts of various infrastructure investment decisions.","author":[{"dropping-particle":"","family":"Behbahani","given":"Hamid","non-dropping-particle":"","parse-names":false,"suffix":""},{"dropping-particle":"","family":"Nazari","given":"Sobhan","non-dropping-particle":"","parse-names":false,"suffix":""},{"dropping-particle":"","family":"Jafari Kang","given":"Masood","non-dropping-particle":"","parse-names":false,"suffix":""},{"dropping-particle":"","family":"Litman","given":"Todd","non-dropping-particle":"","parse-names":false,"suffix":""}],"container-title":"Transportation Research Part A: Policy and Practice","id":"ITEM-1","issue":"April 2018","issued":{"date-parts":[["2019"]]},"page":"171-183","publisher":"Elsevier","title":"A conceptual framework to formulate transportation network design problem considering social equity criteria","type":"article-journal","volume":"125"},"uris":["http://www.mendeley.com/documents/?uuid=237be5b0-029d-43c6-ad27-58e32d58d933"]}],"mendeley":{"formattedCitation":"(Behbahani et al., 2019)","plainTextFormattedCitation":"(Behbahani et al., 2019)","previouslyFormattedCitation":"(Behbahani et al., 2019)"},"properties":{"noteIndex":0},"schema":"https://github.com/citation-style-language/schema/raw/master/csl-citation.json"}</w:instrText>
      </w:r>
      <w:r>
        <w:fldChar w:fldCharType="separate"/>
      </w:r>
      <w:r w:rsidR="008D2835" w:rsidRPr="008D2835">
        <w:rPr>
          <w:noProof/>
        </w:rPr>
        <w:t>(Behbahani et al., 2019)</w:t>
      </w:r>
      <w:r>
        <w:fldChar w:fldCharType="end"/>
      </w:r>
      <w:r w:rsidRPr="00B06351">
        <w:t xml:space="preserve"> work by using the social equity theories to address the problem of </w:t>
      </w:r>
      <w:r>
        <w:t xml:space="preserve">COVID-19  vaccine network distribution design. </w:t>
      </w:r>
      <w:r>
        <w:fldChar w:fldCharType="begin" w:fldLock="1"/>
      </w:r>
      <w:r w:rsidR="00317095">
        <w:instrText>ADDIN CSL_CITATION {"citationItems":[{"id":"ITEM-1","itemData":{"DOI":"10.1016/j.ijpe.2022.108684","ISSN":"0925-5273","author":[{"dropping-particle":"","family":"Dastgoshade","given":"Sohaib","non-dropping-particle":"","parse-names":false,"suffix":""},{"dropping-particle":"","family":"Shafiee","given":"Mohammad","non-dropping-particle":"","parse-names":false,"suffix":""},{"dropping-particle":"","family":"Klibi","given":"Walid","non-dropping-particle":"","parse-names":false,"suffix":""},{"dropping-particle":"","family":"Shishebori","given":"Davood","non-dropping-particle":"","parse-names":false,"suffix":""}],"container-title":"International Journal of Production Economics","id":"ITEM-1","issue":"June","issued":{"date-parts":[["2022"]]},"page":"108684","publisher":"Elsevier B.V.","title":"Social equity-based distribution networks design for the COVID-19 vaccine","type":"article-journal","volume":"250"},"uris":["http://www.mendeley.com/documents/?uuid=46c34dd5-12ca-49f8-b0f7-69838298a1d1"]}],"mendeley":{"formattedCitation":"(Dastgoshade et al., 2022)","plainTextFormattedCitation":"(Dastgoshade et al., 2022)","previouslyFormattedCitation":"(Dastgoshade et al., 2022)"},"properties":{"noteIndex":0},"schema":"https://github.com/citation-style-language/schema/raw/master/csl-citation.json"}</w:instrText>
      </w:r>
      <w:r>
        <w:fldChar w:fldCharType="separate"/>
      </w:r>
      <w:r w:rsidR="008D2835" w:rsidRPr="008D2835">
        <w:rPr>
          <w:noProof/>
        </w:rPr>
        <w:t>(Dastgoshade et al., 2022)</w:t>
      </w:r>
      <w:r>
        <w:fldChar w:fldCharType="end"/>
      </w:r>
      <w:r>
        <w:t xml:space="preserve"> addressed the social equity in COVID-19 vaccine distribution by utilizing three social justice theories including </w:t>
      </w:r>
      <w:r w:rsidRPr="00490EF1">
        <w:t xml:space="preserve">Rawls, </w:t>
      </w:r>
      <w:r w:rsidR="00622092">
        <w:t xml:space="preserve">social welfare (or </w:t>
      </w:r>
      <w:r w:rsidRPr="00490EF1">
        <w:t>utilitarianism</w:t>
      </w:r>
      <w:r w:rsidR="00622092">
        <w:t>)</w:t>
      </w:r>
      <w:r>
        <w:t xml:space="preserve">, and </w:t>
      </w:r>
      <w:r w:rsidRPr="00490EF1">
        <w:t>Sadr.</w:t>
      </w:r>
      <w:r>
        <w:t xml:space="preserve"> </w:t>
      </w:r>
      <w:r w:rsidRPr="005A11D1">
        <w:t xml:space="preserve">The Gini index is utilized to </w:t>
      </w:r>
      <w:r>
        <w:t>mathematically represent Sadr’s</w:t>
      </w:r>
      <w:r w:rsidRPr="005A11D1">
        <w:t xml:space="preserve"> theory</w:t>
      </w:r>
      <w:r>
        <w:t>.</w:t>
      </w:r>
      <w:r w:rsidRPr="00490EF1">
        <w:t xml:space="preserve"> They concluded that using the Rawls' theory leads to a higher percentage of vaccine coverage in rural areas. On the other hand, utilitarianism ensures a greater distribution of vaccine doses among social groups compared to both the Sadr and Rawls theories. Overall, Sadr's theory performs better than Rawls' theory in terms of both allocation and cost considerations.</w:t>
      </w:r>
      <w:r w:rsidR="005D0899">
        <w:t xml:space="preserve"> </w:t>
      </w:r>
      <w:r w:rsidR="005D0899">
        <w:fldChar w:fldCharType="begin" w:fldLock="1"/>
      </w:r>
      <w:r w:rsidR="00317095">
        <w:instrText>ADDIN CSL_CITATION {"citationItems":[{"id":"ITEM-1","itemData":{"DOI":"10.1007/S41660-020-00141-8/FIGURES/7","ISSN":"25094246","abstract":"The fair allocation of resources among multiple stakeholders in any area is a complex challenge for decision-making. This paper presents an optimization strategy for the allocation of COVID-19 vaccines, when they are available, through different fairness schemes (social welfare, Nash, Rawlsian justice, and social welfare II scheme). The applicability of the proposed model is illustrated using the case study of Mexico, including the states of the country as stakeholders. We involve several parameters to guide the allocation, such as the size, risk profiles, and fraction of vulnerable groups in the population. Furthermore, different scenarios of the availability of potential COVID-19 vaccines were evaluated. The social welfare approach is the most commonly used scheme for the allocation of resources. However, we demonstrate that this scheme yields non-unique or multiple solutions (through the social welfare II approach). These social welfare approaches provide inequalities in the allocations that become critical when resources are scarce. Specifically, the social welfare scheme favors large stakeholders (greater population) in all scenarios. We also observe how the complexity of the allocation increases with the higher availability of vaccines. Hence, it is relevant to consider allocation schemes to identify fair solutions.","author":[{"dropping-particle":"","family":"Munguía-López","given":"Aurora del Carmen","non-dropping-particle":"","parse-names":false,"suffix":""},{"dropping-particle":"","family":"Ponce-Ortega","given":"José María","non-dropping-particle":"","parse-names":false,"suffix":""}],"container-title":"Process Integration and Optimization for Sustainability","id":"ITEM-1","issue":"1","issued":{"date-parts":[["2021","3","1"]]},"page":"3-12","publisher":"Springer","title":"Fair Allocation of Potential COVID-19 Vaccines Using an Optimization-Based Strategy","type":"article-journal","volume":"5"},"uris":["http://www.mendeley.com/documents/?uuid=b7a81570-56e0-3731-9bdb-49fc8c8a77f9"]}],"mendeley":{"formattedCitation":"(Munguía-López &amp; Ponce-Ortega, 2021)","plainTextFormattedCitation":"(Munguía-López &amp; Ponce-Ortega, 2021)","previouslyFormattedCitation":"(Munguía-López &amp; Ponce-Ortega, 2021)"},"properties":{"noteIndex":0},"schema":"https://github.com/citation-style-language/schema/raw/master/csl-citation.json"}</w:instrText>
      </w:r>
      <w:r w:rsidR="005D0899">
        <w:fldChar w:fldCharType="separate"/>
      </w:r>
      <w:r w:rsidR="008D2835" w:rsidRPr="008D2835">
        <w:rPr>
          <w:noProof/>
        </w:rPr>
        <w:t>(Munguía-López &amp; Ponce-Ortega, 2021)</w:t>
      </w:r>
      <w:r w:rsidR="005D0899">
        <w:fldChar w:fldCharType="end"/>
      </w:r>
      <w:r w:rsidR="005D0899">
        <w:t xml:space="preserve"> </w:t>
      </w:r>
      <w:r w:rsidR="00E357C1">
        <w:t xml:space="preserve">presented a different formulation for </w:t>
      </w:r>
      <w:r w:rsidR="00E357C1" w:rsidRPr="005D0899">
        <w:t>Rawls</w:t>
      </w:r>
      <w:r w:rsidR="00E357C1">
        <w:t xml:space="preserve"> theory by maximizing the lower bound for vaccine allocation. </w:t>
      </w:r>
      <w:r w:rsidR="00E357C1" w:rsidRPr="00E357C1">
        <w:t>They also incorporated social welfare and Nash theories to assess the level of social equity in vaccine distribution.</w:t>
      </w:r>
      <w:r w:rsidR="00E357C1">
        <w:t xml:space="preserve"> </w:t>
      </w:r>
      <w:r w:rsidR="005D0899" w:rsidRPr="005D0899">
        <w:t xml:space="preserve">In contrast to the findings of </w:t>
      </w:r>
      <w:r w:rsidR="005D0899">
        <w:fldChar w:fldCharType="begin" w:fldLock="1"/>
      </w:r>
      <w:r w:rsidR="00317095">
        <w:instrText>ADDIN CSL_CITATION {"citationItems":[{"id":"ITEM-1","itemData":{"DOI":"10.1016/j.ijpe.2022.108684","ISSN":"0925-5273","author":[{"dropping-particle":"","family":"Dastgoshade","given":"Sohaib","non-dropping-particle":"","parse-names":false,"suffix":""},{"dropping-particle":"","family":"Shafiee","given":"Mohammad","non-dropping-particle":"","parse-names":false,"suffix":""},{"dropping-particle":"","family":"Klibi","given":"Walid","non-dropping-particle":"","parse-names":false,"suffix":""},{"dropping-particle":"","family":"Shishebori","given":"Davood","non-dropping-particle":"","parse-names":false,"suffix":""}],"container-title":"International Journal of Production Economics","id":"ITEM-1","issue":"June","issued":{"date-parts":[["2022"]]},"page":"108684","publisher":"Elsevier B.V.","title":"Social equity-based distribution networks design for the COVID-19 vaccine","type":"article-journal","volume":"250"},"uris":["http://www.mendeley.com/documents/?uuid=46c34dd5-12ca-49f8-b0f7-69838298a1d1"]}],"mendeley":{"formattedCitation":"(Dastgoshade et al., 2022)","plainTextFormattedCitation":"(Dastgoshade et al., 2022)","previouslyFormattedCitation":"(Dastgoshade et al., 2022)"},"properties":{"noteIndex":0},"schema":"https://github.com/citation-style-language/schema/raw/master/csl-citation.json"}</w:instrText>
      </w:r>
      <w:r w:rsidR="005D0899">
        <w:fldChar w:fldCharType="separate"/>
      </w:r>
      <w:r w:rsidR="008D2835" w:rsidRPr="008D2835">
        <w:rPr>
          <w:noProof/>
        </w:rPr>
        <w:t>(Dastgoshade et al., 2022)</w:t>
      </w:r>
      <w:r w:rsidR="005D0899">
        <w:fldChar w:fldCharType="end"/>
      </w:r>
      <w:r w:rsidR="005D0899" w:rsidRPr="005D0899">
        <w:t xml:space="preserve">, they </w:t>
      </w:r>
      <w:r w:rsidR="005D0899">
        <w:t>concluded</w:t>
      </w:r>
      <w:r w:rsidR="005D0899" w:rsidRPr="005D0899">
        <w:t xml:space="preserve"> that the social welfare approach tends to prioritize regions with larger populations.</w:t>
      </w:r>
      <w:r w:rsidR="005D0899">
        <w:t xml:space="preserve"> </w:t>
      </w:r>
      <w:r w:rsidR="00D74740" w:rsidRPr="00C120AA">
        <w:fldChar w:fldCharType="begin" w:fldLock="1"/>
      </w:r>
      <w:r w:rsidR="00317095">
        <w:instrText>ADDIN CSL_CITATION {"citationItems":[{"id":"ITEM-1","itemData":{"DOI":"10.1016/j.seps.2021.101193","ISSN":"00380121","abstract":"We aim to design a fairness-aware allocation approach to maximize the geographical diversity and avoid unfairness in the sense of demographic disparity. During the development of this work, the COVID-19 pandemic is still spreading in the U.S. and other parts of the world on large scale. Many poor communities and minority groups are much more vulnerable than the rest. To provide sufficient vaccine and medical resources to all residents and effectively stop the further spreading of the pandemic, the average medical resources per capita of a community should be independent of the community's demographic features but only conditional on the exposure rate to the disease. In this article, we integrate different aspects of resource allocation and create a synergistic intervention strategy that gives vulnerable populations higher priority in medical resource distribution. This prevention-centered strategy seeks a balance between geographical coverage and social group fairness. The proposed principle can be applied to other scarce resources and social benefits allocation.","author":[{"dropping-particle":"","family":"Anahideh","given":"Hadis","non-dropping-particle":"","parse-names":false,"suffix":""},{"dropping-particle":"","family":"Kang","given":"Lulu","non-dropping-particle":"","parse-names":false,"suffix":""},{"dropping-particle":"","family":"Nezami","given":"Nazanin","non-dropping-particle":"","parse-names":false,"suffix":""}],"container-title":"Socio-Economic Planning Sciences","id":"ITEM-1","issue":"November 2021","issued":{"date-parts":[["2022"]]},"page":"101193","publisher":"Elsevier Ltd","title":"Fair and diverse allocation of scarce resources","type":"article-journal","volume":"80"},"uris":["http://www.mendeley.com/documents/?uuid=9a261ed4-b69f-431f-80e3-1f936ac538ab"]}],"mendeley":{"formattedCitation":"(Anahideh et al., 2022)","plainTextFormattedCitation":"(Anahideh et al., 2022)","previouslyFormattedCitation":"(Anahideh et al., 2022)"},"properties":{"noteIndex":0},"schema":"https://github.com/citation-style-language/schema/raw/master/csl-citation.json"}</w:instrText>
      </w:r>
      <w:r w:rsidR="00D74740" w:rsidRPr="00C120AA">
        <w:fldChar w:fldCharType="separate"/>
      </w:r>
      <w:r w:rsidR="008D2835" w:rsidRPr="008D2835">
        <w:rPr>
          <w:noProof/>
        </w:rPr>
        <w:t>(Anahideh et al., 2022)</w:t>
      </w:r>
      <w:r w:rsidR="00D74740" w:rsidRPr="00C120AA">
        <w:fldChar w:fldCharType="end"/>
      </w:r>
      <w:r w:rsidR="00D74740" w:rsidRPr="00C120AA">
        <w:t xml:space="preserve">  propose</w:t>
      </w:r>
      <w:r w:rsidR="00D74740">
        <w:t>d</w:t>
      </w:r>
      <w:r w:rsidR="00D74740" w:rsidRPr="00C120AA">
        <w:t xml:space="preserve"> a mathematical model to create a vaccine distribution plan that ensures fairness in terms of geography and socioeconomic factors.</w:t>
      </w:r>
    </w:p>
    <w:p w14:paraId="1DE8D00E" w14:textId="568AE5D7" w:rsidR="00C2296B" w:rsidRDefault="00C2296B" w:rsidP="00860F5E">
      <w:r w:rsidRPr="00B21B7A">
        <w:fldChar w:fldCharType="begin" w:fldLock="1"/>
      </w:r>
      <w:r w:rsidR="00317095">
        <w:instrText>ADDIN CSL_CITATION {"citationItems":[{"id":"ITEM-1","itemData":{"DOI":"10.1080/00207543.2022.2110014","ISSN":"1366588X","abstract":"Given the scarcity of COVID-19 vaccines, equitable (fair) allocation of limited vaccines across the main administrative units of a country (e.g. municipalities) has been an important concern for public health authorities worldwide. In this study, we address the equitable allocation of the COVID-19 vaccines inside countries by developing a novel, evidence-based mathematical model that accounts for multiple priority groups (e.g. elderly, healthcare workers), multiple vaccine types, and regional characteristics (e.g. storage capacities, infection risk levels). Our research contributes to the literature by developing and validating a model that proposes equitable vaccine allocation alternatives in a very short time by (a) minimising deviations from the so-called ‘fair coverage’ levels that are computed based on weighted pro-rata rations, and (b) imposing minimum coverage thresholds to control the allocation of vaccines to higher priority groups and regions. To describe the merits of our model, we provide several equity and effectiveness metrics, and present insights on different allocation policies. We compare our methodology with similar models in the literature and show its better performance in achieving equity. To illustrate the performance of our model in practice, we perform a comprehensive numerical study based on actual data corresponding to the early vaccination period in Turkey.","author":[{"dropping-particle":"","family":"Balcik","given":"Burcu","non-dropping-particle":"","parse-names":false,"suffix":""},{"dropping-particle":"","family":"Yucesoy","given":"Ecem","non-dropping-particle":"","parse-names":false,"suffix":""},{"dropping-particle":"","family":"Akca","given":"Berna","non-dropping-particle":"","parse-names":false,"suffix":""},{"dropping-particle":"","family":"Karakaya","given":"Sirma","non-dropping-particle":"","parse-names":false,"suffix":""},{"dropping-particle":"","family":"Gevsek","given":"Asena A.","non-dropping-particle":"","parse-names":false,"suffix":""},{"dropping-particle":"","family":"Baharmand","given":"Hossein","non-dropping-particle":"","parse-names":false,"suffix":""},{"dropping-particle":"","family":"Sgarbossa","given":"Fabio","non-dropping-particle":"","parse-names":false,"suffix":""}],"container-title":"International Journal of Production Research","id":"ITEM-1","issue":"24","issued":{"date-parts":[["2022"]]},"page":"7502-7526","publisher":"Taylor &amp; Francis","title":"A mathematical model for equitable in-country COVID-19 vaccine allocation","type":"article-journal","volume":"60"},"uris":["http://www.mendeley.com/documents/?uuid=8ce9a6fe-30ed-4a4c-ab45-c23c74234d3a"]}],"mendeley":{"formattedCitation":"(Balcik et al., 2022)","plainTextFormattedCitation":"(Balcik et al., 2022)","previouslyFormattedCitation":"(Balcik et al., 2022)"},"properties":{"noteIndex":0},"schema":"https://github.com/citation-style-language/schema/raw/master/csl-citation.json"}</w:instrText>
      </w:r>
      <w:r w:rsidRPr="00B21B7A">
        <w:fldChar w:fldCharType="separate"/>
      </w:r>
      <w:r w:rsidR="008D2835" w:rsidRPr="008D2835">
        <w:rPr>
          <w:noProof/>
        </w:rPr>
        <w:t>(Balcik et al., 2022)</w:t>
      </w:r>
      <w:r w:rsidRPr="00B21B7A">
        <w:fldChar w:fldCharType="end"/>
      </w:r>
      <w:r w:rsidRPr="00B21B7A">
        <w:t xml:space="preserve"> </w:t>
      </w:r>
      <w:r w:rsidRPr="001B0B1D">
        <w:t xml:space="preserve">created an integer programming model to distribute limited vaccines fairly and efficiently among subgroups, such as counties. The researchers assessed fairness by quantifying the deviation from predetermined equitable coverage levels for regions and priority groups. Equitable coverage was determined using a weighted pro-rata allocation policy, </w:t>
      </w:r>
      <w:r>
        <w:t>where</w:t>
      </w:r>
      <w:r w:rsidRPr="001B0B1D">
        <w:t xml:space="preserve"> the significance of locations and priority groups </w:t>
      </w:r>
      <w:r>
        <w:t>captured</w:t>
      </w:r>
      <w:r w:rsidRPr="001B0B1D">
        <w:t xml:space="preserve"> </w:t>
      </w:r>
      <w:r>
        <w:t>through</w:t>
      </w:r>
      <w:r w:rsidRPr="001B0B1D">
        <w:t xml:space="preserve"> weights</w:t>
      </w:r>
      <w:r>
        <w:t xml:space="preserve"> defined by decision makers.</w:t>
      </w:r>
    </w:p>
    <w:p w14:paraId="18C1E3F7" w14:textId="77F52A16" w:rsidR="002850F7" w:rsidRDefault="00860F5E" w:rsidP="00860F5E">
      <w:r>
        <w:fldChar w:fldCharType="begin" w:fldLock="1"/>
      </w:r>
      <w:r w:rsidR="00317095">
        <w:instrText>ADDIN CSL_CITATION {"citationItems":[{"id":"ITEM-1","itemData":{"DOI":"10.1016/j.tre.2022.102689","ISSN":"13665545","abstract":"While the swift development and production of a COVID-19 vaccine has been a remarkable success, it is equally crucial to ensure that the vaccine is allocated and distributed in a timely and efficient manner. Prior research on pandemic supply chain has not fully incorporated the underlying factors and constraints in designing a vaccine allocation model. This study proposes an innovative vaccine allocation model to contain the spread of infectious diseases incorporating key contributing factors to the risk of uninoculated people including susceptibility rate and exposure risk. Analyses of the data collected from the state of Victoria in Australia show that a vaccine allocation model can deliver a superior performance in minimizing the risk of unvaccinated people when a multi-period approach is employed and augmenting operational mechanisms including transshipment between medical centers, capacity sharing, and mobile units being integrated into the vaccine allocation model.","author":[{"dropping-particle":"","family":"Fadaki","given":"Masih","non-dropping-particle":"","parse-names":false,"suffix":""},{"dropping-particle":"","family":"Abareshi","given":"Ahmad","non-dropping-particle":"","parse-names":false,"suffix":""},{"dropping-particle":"","family":"Far","given":"Shaghayegh Maleki","non-dropping-particle":"","parse-names":false,"suffix":""},{"dropping-particle":"","family":"Lee","given":"Paul Tae Woo","non-dropping-particle":"","parse-names":false,"suffix":""}],"container-title":"Transportation Research Part E: Logistics and Transportation Review","id":"ITEM-1","issue":"March","issued":{"date-parts":[["2022"]]},"page":"102689","publisher":"Elsevier Ltd","title":"Multi-period vaccine allocation model in a pandemic: A case study of COVID-19 in Australia","type":"article-journal","volume":"161"},"uris":["http://www.mendeley.com/documents/?uuid=4c4f2cf1-cce8-4b22-813c-8cd03c4c424a"]}],"mendeley":{"formattedCitation":"(Fadaki et al., 2022)","plainTextFormattedCitation":"(Fadaki et al., 2022)","previouslyFormattedCitation":"(Fadaki et al., 2022)"},"properties":{"noteIndex":0},"schema":"https://github.com/citation-style-language/schema/raw/master/csl-citation.json"}</w:instrText>
      </w:r>
      <w:r>
        <w:fldChar w:fldCharType="separate"/>
      </w:r>
      <w:r w:rsidR="008D2835" w:rsidRPr="008D2835">
        <w:rPr>
          <w:noProof/>
        </w:rPr>
        <w:t>(Fadaki et al., 2022)</w:t>
      </w:r>
      <w:r>
        <w:fldChar w:fldCharType="end"/>
      </w:r>
      <w:r>
        <w:t xml:space="preserve"> </w:t>
      </w:r>
      <w:r w:rsidRPr="00C60FD7">
        <w:t>suggest</w:t>
      </w:r>
      <w:r>
        <w:t>ed</w:t>
      </w:r>
      <w:r w:rsidRPr="00C60FD7">
        <w:t xml:space="preserve"> using demographic information to assess the vulnerability of different subgroups and categorize individuals into priority groups. In their mathematical model, they aim</w:t>
      </w:r>
      <w:r>
        <w:t>ed</w:t>
      </w:r>
      <w:r w:rsidRPr="00C60FD7">
        <w:t xml:space="preserve"> to achieve a fair</w:t>
      </w:r>
      <w:r>
        <w:t xml:space="preserve"> </w:t>
      </w:r>
      <w:r w:rsidRPr="00C60FD7">
        <w:t>allocation by minimizing the weighted risk of unvaccinated populations. These weights are calculated based on susceptibility and exposure rates, ensuring a more equitable distribution of vaccines.</w:t>
      </w:r>
      <w:r>
        <w:t xml:space="preserve"> </w:t>
      </w:r>
      <w:r w:rsidR="00B95CFE">
        <w:fldChar w:fldCharType="begin" w:fldLock="1"/>
      </w:r>
      <w:r w:rsidR="00317095">
        <w:instrText>ADDIN CSL_CITATION {"citationItems":[{"id":"ITEM-1","itemData":{"DOI":"10.1016/j.omega.2023.102898","ISSN":"0305-0483","author":[{"dropping-particle":"","family":"Orgut","given":"Irem Sengul","non-dropping-particle":"","parse-names":false,"suffix":""},{"dropping-particle":"","family":"Freeman","given":"Nickolas","non-dropping-particle":"","parse-names":false,"suffix":""},{"dropping-particle":"","family":"Lewis","given":"Dwight","non-dropping-particle":"","parse-names":false,"suffix":""},{"dropping-particle":"","family":"Parton","given":"Jason","non-dropping-particle":"","parse-names":false,"suffix":""}],"container-title":"Omega","id":"ITEM-1","issued":{"date-parts":[["2023"]]},"page":"102898","publisher":"Elsevier Ltd","title":"Equitable and Effective Vaccine Access Considering Vaccine Hesitancy and Capacity Constraints","type":"article-journal"},"uris":["http://www.mendeley.com/documents/?uuid=fd23d274-6471-4b2e-b1de-8633b6c76c0c"]}],"mendeley":{"formattedCitation":"(Orgut et al., 2023)","plainTextFormattedCitation":"(Orgut et al., 2023)","previouslyFormattedCitation":"(Orgut et al., 2023)"},"properties":{"noteIndex":0},"schema":"https://github.com/citation-style-language/schema/raw/master/csl-citation.json"}</w:instrText>
      </w:r>
      <w:r w:rsidR="00B95CFE">
        <w:fldChar w:fldCharType="separate"/>
      </w:r>
      <w:r w:rsidR="008D2835" w:rsidRPr="008D2835">
        <w:rPr>
          <w:noProof/>
        </w:rPr>
        <w:t>(Orgut et al., 2023)</w:t>
      </w:r>
      <w:r w:rsidR="00B95CFE">
        <w:fldChar w:fldCharType="end"/>
      </w:r>
      <w:r w:rsidR="00B95CFE">
        <w:t xml:space="preserve"> </w:t>
      </w:r>
      <w:r w:rsidR="00B95CFE" w:rsidRPr="002D038D">
        <w:t>conducted a study aiming to improve time-based equity by reducing the maximum travel time for individuals traveling between regions for vaccination purposes.</w:t>
      </w:r>
    </w:p>
    <w:p w14:paraId="3E63F76E" w14:textId="563170CA" w:rsidR="00D74740" w:rsidRDefault="002850F7" w:rsidP="00D74740">
      <w:pPr>
        <w:pStyle w:val="Heading2"/>
      </w:pPr>
      <w:r>
        <w:lastRenderedPageBreak/>
        <w:t xml:space="preserve"> </w:t>
      </w:r>
      <w:r w:rsidR="00D74740">
        <w:t>Efficiency and e</w:t>
      </w:r>
      <w:r>
        <w:t>ffectiveness</w:t>
      </w:r>
      <w:r w:rsidR="00D74740">
        <w:t xml:space="preserve"> in v</w:t>
      </w:r>
      <w:r w:rsidR="00D74740" w:rsidRPr="00EA1EBC">
        <w:t xml:space="preserve">accine </w:t>
      </w:r>
      <w:r w:rsidR="00D74740">
        <w:t>d</w:t>
      </w:r>
      <w:r w:rsidR="00D74740" w:rsidRPr="00EA1EBC">
        <w:t xml:space="preserve">istribution </w:t>
      </w:r>
    </w:p>
    <w:p w14:paraId="593E797E" w14:textId="0AB402A5" w:rsidR="00312AC0" w:rsidRDefault="00D572E7" w:rsidP="005B7617">
      <w:r w:rsidRPr="00D572E7">
        <w:t xml:space="preserve">Efficiency and effectiveness are two </w:t>
      </w:r>
      <w:r>
        <w:t>important</w:t>
      </w:r>
      <w:r w:rsidRPr="00D572E7">
        <w:t xml:space="preserve"> factors when it comes to vaccine allocation and distribution during </w:t>
      </w:r>
      <w:r>
        <w:t>pandemics</w:t>
      </w:r>
      <w:r w:rsidRPr="00D572E7">
        <w:t xml:space="preserve">. </w:t>
      </w:r>
      <w:r w:rsidR="00312AC0" w:rsidRPr="00312AC0">
        <w:t>Efficiency is commonly understood as the act of minimizing costs and maximizing the utilization of resources, whereas effectiveness is defined as the ability to control the spread of the disease.</w:t>
      </w:r>
      <w:r w:rsidR="00312AC0">
        <w:t xml:space="preserve"> </w:t>
      </w:r>
      <w:r w:rsidR="00312AC0" w:rsidRPr="00312AC0">
        <w:t>Several studies attempted to propose efficient and/or effective models for vaccine distribution</w:t>
      </w:r>
      <w:r w:rsidR="00312AC0">
        <w:t>.</w:t>
      </w:r>
      <w:r w:rsidR="005B7617">
        <w:t xml:space="preserve"> </w:t>
      </w:r>
      <w:r w:rsidR="00312AC0" w:rsidRPr="00D572E7">
        <w:t xml:space="preserve">For instance, </w:t>
      </w:r>
      <w:r w:rsidR="00312AC0" w:rsidRPr="00AC3887">
        <w:fldChar w:fldCharType="begin" w:fldLock="1"/>
      </w:r>
      <w:r w:rsidR="00317095">
        <w:instrText>ADDIN CSL_CITATION {"citationItems":[{"id":"ITEM-1","itemData":{"ISSN":"0377-2217","author":[{"dropping-particle":"","family":"Yarmand","given":"Hamed","non-dropping-particle":"","parse-names":false,"suffix":""},{"dropping-particle":"","family":"Ivy","given":"Julie S","non-dropping-particle":"","parse-names":false,"suffix":""},{"dropping-particle":"","family":"Denton","given":"Brian","non-dropping-particle":"","parse-names":false,"suffix":""},{"dropping-particle":"","family":"Lloyd","given":"Alun L","non-dropping-particle":"","parse-names":false,"suffix":""}],"container-title":"European Journal of Operational Research","id":"ITEM-1","issue":"1","issued":{"date-parts":[["2014"]]},"page":"208-219","publisher":"Elsevier","title":"Optimal two-phase vaccine allocation to geographically different regions under uncertainty","type":"article-journal","volume":"233"},"uris":["http://www.mendeley.com/documents/?uuid=e48007b3-2360-46a9-8845-bef879196b4c"]}],"mendeley":{"formattedCitation":"(Yarmand et al., 2014)","plainTextFormattedCitation":"(Yarmand et al., 2014)","previouslyFormattedCitation":"(Yarmand et al., 2014)"},"properties":{"noteIndex":0},"schema":"https://github.com/citation-style-language/schema/raw/master/csl-citation.json"}</w:instrText>
      </w:r>
      <w:r w:rsidR="00312AC0" w:rsidRPr="00AC3887">
        <w:fldChar w:fldCharType="separate"/>
      </w:r>
      <w:r w:rsidR="008D2835" w:rsidRPr="008D2835">
        <w:rPr>
          <w:noProof/>
        </w:rPr>
        <w:t>(Yarmand et al., 2014)</w:t>
      </w:r>
      <w:r w:rsidR="00312AC0" w:rsidRPr="00AC3887">
        <w:fldChar w:fldCharType="end"/>
      </w:r>
      <w:r w:rsidR="00312AC0" w:rsidRPr="00AC3887">
        <w:t xml:space="preserve"> </w:t>
      </w:r>
      <w:r w:rsidR="00312AC0" w:rsidRPr="00D572E7">
        <w:t>focused on improving efficiency by minimizing the overall cost of vaccinations</w:t>
      </w:r>
      <w:r w:rsidR="00312AC0">
        <w:t xml:space="preserve"> by </w:t>
      </w:r>
      <w:r w:rsidR="00312AC0" w:rsidRPr="00D74740">
        <w:t>reducing the number of administered vaccine doses</w:t>
      </w:r>
      <w:r w:rsidR="00312AC0" w:rsidRPr="00D572E7">
        <w:t xml:space="preserve">, while </w:t>
      </w:r>
      <w:r w:rsidR="00C27FE3" w:rsidRPr="00CD71E2">
        <w:fldChar w:fldCharType="begin" w:fldLock="1"/>
      </w:r>
      <w:r w:rsidR="00317095">
        <w:instrText>ADDIN CSL_CITATION {"citationItems":[{"id":"ITEM-1","itemData":{"DOI":"10.1111/ITOR.12758","ISSN":"14753995","abstract":"In most low- and middle-income countries supported by the World Health Organization's Expanded Program on Immunization, vaccines are distributed through a legacy medical supply chain that is typically not cost-efficient. Vaccines require storage and transport in a temperature-controlled environment; this requires a “cold” distribution chain with capacity constraints on cold storage and cold transport. We propose an approach to redesigning the vaccine distribution chain that includes locating a set of intermediate distribution centers (DCs) and determining the flow paths from the central store (where vaccines are received into a country) through one or more of these to health clinics where vaccination actually occurs. In addition, the transport vehicles to allocate to each flow path, and the cold storage devices to use at each clinic or intermediate DC are determined. The redesigned network does not have to follow the current four-tiered, arborescent structure commonly found in practice, but can use alternative network structures. To redesign this network optimally, we develop a mixed-integer programming (MIP) model that can be used for small-to-medium-sized problems and also present a hybrid heuristic–MIP method to obtain good solutions for larger problems. Numerical results are shown using data reflecting distribution networks in several countries in sub-Saharan Africa.","author":[{"dropping-particle":"","family":"Lim","given":"Jung","non-dropping-particle":"","parse-names":false,"suffix":""},{"dropping-particle":"","family":"Norman","given":"Bryan A.","non-dropping-particle":"","parse-names":false,"suffix":""},{"dropping-particle":"","family":"Rajgopal","given":"Jayant","non-dropping-particle":"","parse-names":false,"suffix":""}],"container-title":"International Transactions in Operational Research","id":"ITEM-1","issue":"1","issued":{"date-parts":[["2022","1","1"]]},"page":"200-225","publisher":"John Wiley and Sons Inc","title":"Redesign of vaccine distribution networks","type":"article-journal","volume":"29"},"uris":["http://www.mendeley.com/documents/?uuid=b9a66d7a-f37c-39db-9bb8-36b2d712a2aa"]}],"mendeley":{"formattedCitation":"(Lim et al., 2022)","plainTextFormattedCitation":"(Lim et al., 2022)","previouslyFormattedCitation":"(Lim et al., 2022)"},"properties":{"noteIndex":0},"schema":"https://github.com/citation-style-language/schema/raw/master/csl-citation.json"}</w:instrText>
      </w:r>
      <w:r w:rsidR="00C27FE3" w:rsidRPr="00CD71E2">
        <w:fldChar w:fldCharType="separate"/>
      </w:r>
      <w:r w:rsidR="008D2835" w:rsidRPr="008D2835">
        <w:rPr>
          <w:noProof/>
        </w:rPr>
        <w:t>(Lim et al., 2022)</w:t>
      </w:r>
      <w:r w:rsidR="00C27FE3" w:rsidRPr="00CD71E2">
        <w:fldChar w:fldCharType="end"/>
      </w:r>
      <w:r w:rsidR="00C27FE3">
        <w:t xml:space="preserve"> </w:t>
      </w:r>
      <w:r w:rsidR="00312AC0" w:rsidRPr="00D572E7">
        <w:t xml:space="preserve">suggested a redesign of the vaccine supply chain network to enhance resource allocation and </w:t>
      </w:r>
      <w:r w:rsidR="00C27FE3" w:rsidRPr="00CD71E2">
        <w:t>strategic decision-making, specifically focusing on the economic aspects of vaccine distribution networks</w:t>
      </w:r>
      <w:r w:rsidR="00C27FE3">
        <w:t>.</w:t>
      </w:r>
    </w:p>
    <w:p w14:paraId="6D13B875" w14:textId="25C15CF4" w:rsidR="005B7617" w:rsidRDefault="005B7617" w:rsidP="005B7617">
      <w:r>
        <w:fldChar w:fldCharType="begin" w:fldLock="1"/>
      </w:r>
      <w:r w:rsidR="00317095">
        <w:instrText>ADDIN CSL_CITATION {"citationItems":[{"id":"ITEM-1","itemData":{"DOI":"10.1016/j.omega.2023.102872","author":[{"dropping-particle":"","family":"Wang","given":"Xin","non-dropping-particle":"","parse-names":false,"suffix":""},{"dropping-particle":"","family":"Jiang","given":"Ruiwei","non-dropping-particle":"","parse-names":false,"suffix":""},{"dropping-particle":"","family":"Qi","given":"Mingyao","non-dropping-particle":"","parse-names":false,"suffix":""}],"container-title":"Omega","id":"ITEM-1","issued":{"date-parts":[["2023"]]},"publisher":"Elsevier Ltd","title":"A robust optimization problem for drone-based equitable pandemic vaccine distribution with uncertain supply","type":"article-journal","volume":"119"},"uris":["http://www.mendeley.com/documents/?uuid=65c16b9c-82e1-435c-a6b7-16dcfed2f917"]}],"mendeley":{"formattedCitation":"(Wang et al., 2023)","plainTextFormattedCitation":"(Wang et al., 2023)","previouslyFormattedCitation":"(Wang et al., 2023)"},"properties":{"noteIndex":0},"schema":"https://github.com/citation-style-language/schema/raw/master/csl-citation.json"}</w:instrText>
      </w:r>
      <w:r>
        <w:fldChar w:fldCharType="separate"/>
      </w:r>
      <w:r w:rsidR="008D2835" w:rsidRPr="008D2835">
        <w:rPr>
          <w:noProof/>
        </w:rPr>
        <w:t>(Wang et al., 2023)</w:t>
      </w:r>
      <w:r>
        <w:fldChar w:fldCharType="end"/>
      </w:r>
      <w:r>
        <w:t xml:space="preserve"> </w:t>
      </w:r>
      <w:r w:rsidR="00312AC0" w:rsidRPr="00D572E7">
        <w:t xml:space="preserve">incorporated uncertainty </w:t>
      </w:r>
      <w:r>
        <w:t xml:space="preserve">of vaccine supply </w:t>
      </w:r>
      <w:r w:rsidR="00312AC0" w:rsidRPr="00D572E7">
        <w:t xml:space="preserve">and emphasized the utilization of drone delivery to reach remote areas. </w:t>
      </w:r>
      <w:r>
        <w:t>Their</w:t>
      </w:r>
      <w:r w:rsidRPr="00BB22C8">
        <w:t xml:space="preserve"> </w:t>
      </w:r>
      <w:r>
        <w:t>model</w:t>
      </w:r>
      <w:r w:rsidRPr="00BB22C8">
        <w:t xml:space="preserve"> determine</w:t>
      </w:r>
      <w:r>
        <w:t>s</w:t>
      </w:r>
      <w:r w:rsidRPr="00BB22C8">
        <w:t xml:space="preserve"> the optimal location for a vaccination facility, assess the capacity of the transportation network, and schedule vaccinations. </w:t>
      </w:r>
      <w:r>
        <w:t>They measure e</w:t>
      </w:r>
      <w:r w:rsidRPr="00C60FD7">
        <w:t>fficiency through minimizing total cost including the initial cost of establishing healthcare facilities, the cost of deploying drones, the cost of accessing vaccinations, and the cost incurred for maintaining inventory.</w:t>
      </w:r>
      <w:r>
        <w:t xml:space="preserve"> </w:t>
      </w:r>
      <w:r w:rsidR="00312AC0" w:rsidRPr="00D572E7">
        <w:t xml:space="preserve">On the other hand, </w:t>
      </w:r>
      <w:r w:rsidRPr="00E8521D">
        <w:fldChar w:fldCharType="begin" w:fldLock="1"/>
      </w:r>
      <w:r w:rsidR="00317095">
        <w:instrText>ADDIN CSL_CITATION {"citationItems":[{"id":"ITEM-1","itemData":{"DOI":"10.1016/j.ejor.2019.11.025","abstract":"This paper is concerned with the optimal influenza vaccine distribution in a heterogeneous population consisting of multiple subgroups. We employ a compartmental model for influenza transmission and formulate a mathematical program to minimize the number of vaccine doses distributed to effectively extinguish an emerging outbreak in its early stages. We propose an equity constraint to help public health authorities consider fairness when making vaccine distribution decisions. We develop an exact solution approach that generates a vaccine distribution policy with a solution quality guarantee. We perform sensitivity analyses on key epidemic parameters in order to illustrate the application of the proposed model. We then analyze the scalability of the solution approach for a population consisting of subgroups based on geographic location and age. We finally demonstrate the proposed model's ability to consider vaccine coverage inequity and discuss a derivative-free optimization approach, as an alternative solution method which can consider various different objective functions and constraints. Our results indicate that consideration of group-specific transmission dynamics is paramount to the optimal distribution of influenza vaccines.","author":[{"dropping-particle":"","family":"Enayati","given":"Shakiba","non-dropping-particle":"","parse-names":false,"suffix":""},{"dropping-particle":"","family":"Özaltın","given":"Osman Y","non-dropping-particle":"","parse-names":false,"suffix":""}],"container-title":"European Journal of Operational Research","id":"ITEM-1","issued":{"date-parts":[["2020"]]},"page":"714-725","title":"Optimal influenza vaccine distribution with equity","type":"article-journal","volume":"283"},"uris":["http://www.mendeley.com/documents/?uuid=04f35779-9538-3dd9-9a56-5cd96ae7e68b"]}],"mendeley":{"formattedCitation":"(Enayati &amp; Özaltın, 2020)","plainTextFormattedCitation":"(Enayati &amp; Özaltın, 2020)","previouslyFormattedCitation":"(Enayati &amp; Özaltın, 2020)"},"properties":{"noteIndex":0},"schema":"https://github.com/citation-style-language/schema/raw/master/csl-citation.json"}</w:instrText>
      </w:r>
      <w:r w:rsidRPr="00E8521D">
        <w:fldChar w:fldCharType="separate"/>
      </w:r>
      <w:r w:rsidR="008D2835" w:rsidRPr="008D2835">
        <w:rPr>
          <w:noProof/>
        </w:rPr>
        <w:t>(Enayati &amp; Özaltın, 2020)</w:t>
      </w:r>
      <w:r w:rsidRPr="00E8521D">
        <w:fldChar w:fldCharType="end"/>
      </w:r>
      <w:r w:rsidR="00312AC0" w:rsidRPr="00D572E7">
        <w:t xml:space="preserve"> and </w:t>
      </w:r>
      <w:r>
        <w:fldChar w:fldCharType="begin" w:fldLock="1"/>
      </w:r>
      <w:r w:rsidR="00317095">
        <w:instrText>ADDIN CSL_CITATION {"citationItems":[{"id":"ITEM-1","itemData":{"DOI":"10.1016/j.omega.2023.102898","ISSN":"0305-0483","author":[{"dropping-particle":"","family":"Orgut","given":"Irem Sengul","non-dropping-particle":"","parse-names":false,"suffix":""},{"dropping-particle":"","family":"Freeman","given":"Nickolas","non-dropping-particle":"","parse-names":false,"suffix":""},{"dropping-particle":"","family":"Lewis","given":"Dwight","non-dropping-particle":"","parse-names":false,"suffix":""},{"dropping-particle":"","family":"Parton","given":"Jason","non-dropping-particle":"","parse-names":false,"suffix":""}],"container-title":"Omega","id":"ITEM-1","issued":{"date-parts":[["2023"]]},"page":"102898","publisher":"Elsevier Ltd","title":"Equitable and Effective Vaccine Access Considering Vaccine Hesitancy and Capacity Constraints","type":"article-journal"},"uris":["http://www.mendeley.com/documents/?uuid=fd23d274-6471-4b2e-b1de-8633b6c76c0c"]}],"mendeley":{"formattedCitation":"(Orgut et al., 2023)","plainTextFormattedCitation":"(Orgut et al., 2023)","previouslyFormattedCitation":"(Orgut et al., 2023)"},"properties":{"noteIndex":0},"schema":"https://github.com/citation-style-language/schema/raw/master/csl-citation.json"}</w:instrText>
      </w:r>
      <w:r>
        <w:fldChar w:fldCharType="separate"/>
      </w:r>
      <w:r w:rsidR="008D2835" w:rsidRPr="008D2835">
        <w:rPr>
          <w:noProof/>
        </w:rPr>
        <w:t>(Orgut et al., 2023)</w:t>
      </w:r>
      <w:r>
        <w:fldChar w:fldCharType="end"/>
      </w:r>
      <w:r w:rsidR="00312AC0" w:rsidRPr="00D572E7">
        <w:t xml:space="preserve"> emphasized the importance of effectiveness, defining it in terms of extinguishing outbreaks with minimal vaccine doses and avoiding the allocation of vaccines beyond demand, respectively. </w:t>
      </w:r>
    </w:p>
    <w:p w14:paraId="7935E22F" w14:textId="565B2395" w:rsidR="00296630" w:rsidRDefault="002850F7" w:rsidP="006A76DC">
      <w:pPr>
        <w:rPr>
          <w:sz w:val="20"/>
          <w:szCs w:val="20"/>
        </w:rPr>
      </w:pPr>
      <w:r w:rsidRPr="00B21B7A">
        <w:fldChar w:fldCharType="begin" w:fldLock="1"/>
      </w:r>
      <w:r w:rsidR="00317095">
        <w:instrText>ADDIN CSL_CITATION {"citationItems":[{"id":"ITEM-1","itemData":{"DOI":"10.1080/00207543.2022.2110014","ISSN":"1366588X","abstract":"Given the scarcity of COVID-19 vaccines, equitable (fair) allocation of limited vaccines across the main administrative units of a country (e.g. municipalities) has been an important concern for public health authorities worldwide. In this study, we address the equitable allocation of the COVID-19 vaccines inside countries by developing a novel, evidence-based mathematical model that accounts for multiple priority groups (e.g. elderly, healthcare workers), multiple vaccine types, and regional characteristics (e.g. storage capacities, infection risk levels). Our research contributes to the literature by developing and validating a model that proposes equitable vaccine allocation alternatives in a very short time by (a) minimising deviations from the so-called ‘fair coverage’ levels that are computed based on weighted pro-rata rations, and (b) imposing minimum coverage thresholds to control the allocation of vaccines to higher priority groups and regions. To describe the merits of our model, we provide several equity and effectiveness metrics, and present insights on different allocation policies. We compare our methodology with similar models in the literature and show its better performance in achieving equity. To illustrate the performance of our model in practice, we perform a comprehensive numerical study based on actual data corresponding to the early vaccination period in Turkey.","author":[{"dropping-particle":"","family":"Balcik","given":"Burcu","non-dropping-particle":"","parse-names":false,"suffix":""},{"dropping-particle":"","family":"Yucesoy","given":"Ecem","non-dropping-particle":"","parse-names":false,"suffix":""},{"dropping-particle":"","family":"Akca","given":"Berna","non-dropping-particle":"","parse-names":false,"suffix":""},{"dropping-particle":"","family":"Karakaya","given":"Sirma","non-dropping-particle":"","parse-names":false,"suffix":""},{"dropping-particle":"","family":"Gevsek","given":"Asena A.","non-dropping-particle":"","parse-names":false,"suffix":""},{"dropping-particle":"","family":"Baharmand","given":"Hossein","non-dropping-particle":"","parse-names":false,"suffix":""},{"dropping-particle":"","family":"Sgarbossa","given":"Fabio","non-dropping-particle":"","parse-names":false,"suffix":""}],"container-title":"International Journal of Production Research","id":"ITEM-1","issue":"24","issued":{"date-parts":[["2022"]]},"page":"7502-7526","publisher":"Taylor &amp; Francis","title":"A mathematical model for equitable in-country COVID-19 vaccine allocation","type":"article-journal","volume":"60"},"uris":["http://www.mendeley.com/documents/?uuid=8ce9a6fe-30ed-4a4c-ab45-c23c74234d3a"]}],"mendeley":{"formattedCitation":"(Balcik et al., 2022)","plainTextFormattedCitation":"(Balcik et al., 2022)","previouslyFormattedCitation":"(Balcik et al., 2022)"},"properties":{"noteIndex":0},"schema":"https://github.com/citation-style-language/schema/raw/master/csl-citation.json"}</w:instrText>
      </w:r>
      <w:r w:rsidRPr="00B21B7A">
        <w:fldChar w:fldCharType="separate"/>
      </w:r>
      <w:r w:rsidR="008D2835" w:rsidRPr="008D2835">
        <w:rPr>
          <w:noProof/>
        </w:rPr>
        <w:t>(Balcik et al., 2022)</w:t>
      </w:r>
      <w:r w:rsidRPr="00B21B7A">
        <w:fldChar w:fldCharType="end"/>
      </w:r>
      <w:r w:rsidRPr="00526D53">
        <w:t xml:space="preserve"> </w:t>
      </w:r>
      <w:r w:rsidR="005B7617" w:rsidRPr="005B7617">
        <w:t xml:space="preserve">assessed </w:t>
      </w:r>
      <w:r w:rsidRPr="00526D53">
        <w:t xml:space="preserve">the effectiveness of vaccine distribution by </w:t>
      </w:r>
      <w:r w:rsidR="005B7617" w:rsidRPr="005B7617">
        <w:t xml:space="preserve">determining </w:t>
      </w:r>
      <w:r w:rsidRPr="00526D53">
        <w:t xml:space="preserve">the </w:t>
      </w:r>
      <w:r w:rsidR="005B7617">
        <w:t>overall</w:t>
      </w:r>
      <w:r w:rsidRPr="00526D53">
        <w:t xml:space="preserve"> average vaccination coverage in the network. However, </w:t>
      </w:r>
      <w:r w:rsidR="005B7617" w:rsidRPr="005B7617">
        <w:t>their model did not consider efficiency and cost factors in the distribution process.</w:t>
      </w:r>
      <w:r w:rsidR="006A76DC">
        <w:t xml:space="preserve"> </w:t>
      </w:r>
      <w:r w:rsidR="00296630" w:rsidRPr="006A76DC">
        <w:fldChar w:fldCharType="begin" w:fldLock="1"/>
      </w:r>
      <w:r w:rsidR="00317095">
        <w:instrText>ADDIN CSL_CITATION {"citationItems":[{"id":"ITEM-1","itemData":{"author":[{"dropping-particle":"","family":"Lusiantoro","given":"Luluk","non-dropping-particle":"","parse-names":false,"suffix":""}],"container-title":"Operations and Supply Chain Management: An International Journal","id":"ITEM-1","issue":"2","issued":{"date-parts":[["2022"]]},"page":"240-250","title":"A Locational Analysis Model of the COVID-19 Vaccine Distribution","type":"article-journal","volume":"15"},"uris":["http://www.mendeley.com/documents/?uuid=f7a17cb9-b013-44a1-88a8-3ef9cd64fcc3"]}],"mendeley":{"formattedCitation":"(Lusiantoro, 2022)","plainTextFormattedCitation":"(Lusiantoro, 2022)","previouslyFormattedCitation":"(Lusiantoro, 2022)"},"properties":{"noteIndex":0},"schema":"https://github.com/citation-style-language/schema/raw/master/csl-citation.json"}</w:instrText>
      </w:r>
      <w:r w:rsidR="00296630" w:rsidRPr="006A76DC">
        <w:fldChar w:fldCharType="separate"/>
      </w:r>
      <w:r w:rsidR="008D2835" w:rsidRPr="008D2835">
        <w:rPr>
          <w:noProof/>
        </w:rPr>
        <w:t>(Lusiantoro, 2022)</w:t>
      </w:r>
      <w:r w:rsidR="00296630" w:rsidRPr="006A76DC">
        <w:fldChar w:fldCharType="end"/>
      </w:r>
      <w:r w:rsidR="00296630" w:rsidRPr="006A76DC">
        <w:t xml:space="preserve"> </w:t>
      </w:r>
      <w:r w:rsidR="006A76DC" w:rsidRPr="006A76DC">
        <w:t xml:space="preserve">also </w:t>
      </w:r>
      <w:r w:rsidR="00296630" w:rsidRPr="006A76DC">
        <w:t xml:space="preserve">formulated a mathematical model </w:t>
      </w:r>
      <w:r w:rsidR="006A76DC" w:rsidRPr="006A76DC">
        <w:t>that</w:t>
      </w:r>
      <w:r w:rsidR="00296630" w:rsidRPr="006A76DC">
        <w:t xml:space="preserve"> utiliz</w:t>
      </w:r>
      <w:r w:rsidR="006A76DC" w:rsidRPr="006A76DC">
        <w:t>ed</w:t>
      </w:r>
      <w:r w:rsidR="00296630" w:rsidRPr="006A76DC">
        <w:t xml:space="preserve"> the maximal covering location problem to enhance the efficiency COVID-19 vaccine</w:t>
      </w:r>
      <w:r w:rsidR="006A76DC" w:rsidRPr="006A76DC">
        <w:t xml:space="preserve"> distribution,</w:t>
      </w:r>
      <w:r w:rsidR="00296630" w:rsidRPr="006A76DC">
        <w:t xml:space="preserve"> </w:t>
      </w:r>
      <w:r w:rsidR="006A76DC" w:rsidRPr="006A76DC">
        <w:t>aiming to</w:t>
      </w:r>
      <w:r w:rsidR="00296630" w:rsidRPr="006A76DC">
        <w:t xml:space="preserve"> maximiz</w:t>
      </w:r>
      <w:r w:rsidR="006A76DC" w:rsidRPr="006A76DC">
        <w:t>e</w:t>
      </w:r>
      <w:r w:rsidR="00296630" w:rsidRPr="006A76DC">
        <w:t xml:space="preserve"> the vaccination coverage.</w:t>
      </w:r>
    </w:p>
    <w:p w14:paraId="497B52BF" w14:textId="77777777" w:rsidR="002850F7" w:rsidRDefault="002850F7" w:rsidP="002850F7">
      <w:pPr>
        <w:pStyle w:val="Default"/>
        <w:rPr>
          <w:sz w:val="20"/>
          <w:szCs w:val="20"/>
        </w:rPr>
      </w:pPr>
    </w:p>
    <w:tbl>
      <w:tblPr>
        <w:tblStyle w:val="TableGrid"/>
        <w:tblW w:w="0" w:type="auto"/>
        <w:jc w:val="center"/>
        <w:tblLayout w:type="fixed"/>
        <w:tblCellMar>
          <w:left w:w="29" w:type="dxa"/>
          <w:right w:w="29" w:type="dxa"/>
        </w:tblCellMar>
        <w:tblLook w:val="04A0" w:firstRow="1" w:lastRow="0" w:firstColumn="1" w:lastColumn="0" w:noHBand="0" w:noVBand="1"/>
      </w:tblPr>
      <w:tblGrid>
        <w:gridCol w:w="842"/>
        <w:gridCol w:w="503"/>
        <w:gridCol w:w="900"/>
        <w:gridCol w:w="630"/>
        <w:gridCol w:w="720"/>
        <w:gridCol w:w="782"/>
        <w:gridCol w:w="1514"/>
        <w:gridCol w:w="986"/>
        <w:gridCol w:w="588"/>
        <w:gridCol w:w="592"/>
        <w:gridCol w:w="602"/>
        <w:gridCol w:w="691"/>
      </w:tblGrid>
      <w:tr w:rsidR="00AD4EB9" w:rsidRPr="00106C79" w14:paraId="53434D22" w14:textId="77777777" w:rsidTr="00AD4EB9">
        <w:trPr>
          <w:jc w:val="center"/>
        </w:trPr>
        <w:tc>
          <w:tcPr>
            <w:tcW w:w="842" w:type="dxa"/>
          </w:tcPr>
          <w:p w14:paraId="1B22574F" w14:textId="77777777" w:rsidR="00AD4EB9" w:rsidRPr="004F6FA4" w:rsidRDefault="00AD4EB9" w:rsidP="004F6FA4">
            <w:pPr>
              <w:pStyle w:val="Table"/>
              <w:rPr>
                <w:b/>
                <w:bCs/>
              </w:rPr>
            </w:pPr>
            <w:r w:rsidRPr="004F6FA4">
              <w:rPr>
                <w:b/>
                <w:bCs/>
              </w:rPr>
              <w:t>Paper</w:t>
            </w:r>
          </w:p>
        </w:tc>
        <w:tc>
          <w:tcPr>
            <w:tcW w:w="503" w:type="dxa"/>
          </w:tcPr>
          <w:p w14:paraId="0F7C3716" w14:textId="77777777" w:rsidR="00AD4EB9" w:rsidRPr="004F6FA4" w:rsidRDefault="00AD4EB9" w:rsidP="004F6FA4">
            <w:pPr>
              <w:pStyle w:val="Table"/>
              <w:rPr>
                <w:b/>
                <w:bCs/>
              </w:rPr>
            </w:pPr>
            <w:r w:rsidRPr="004F6FA4">
              <w:rPr>
                <w:b/>
                <w:bCs/>
              </w:rPr>
              <w:t>Single-Multi period</w:t>
            </w:r>
          </w:p>
        </w:tc>
        <w:tc>
          <w:tcPr>
            <w:tcW w:w="900" w:type="dxa"/>
          </w:tcPr>
          <w:p w14:paraId="2B5A021D" w14:textId="77777777" w:rsidR="00AD4EB9" w:rsidRPr="004F6FA4" w:rsidRDefault="00AD4EB9" w:rsidP="004F6FA4">
            <w:pPr>
              <w:pStyle w:val="Table"/>
              <w:rPr>
                <w:b/>
                <w:bCs/>
              </w:rPr>
            </w:pPr>
            <w:r w:rsidRPr="004F6FA4">
              <w:rPr>
                <w:b/>
                <w:bCs/>
              </w:rPr>
              <w:t>Single or multiple vaccine type</w:t>
            </w:r>
          </w:p>
        </w:tc>
        <w:tc>
          <w:tcPr>
            <w:tcW w:w="630" w:type="dxa"/>
          </w:tcPr>
          <w:p w14:paraId="370FD213" w14:textId="77777777" w:rsidR="00AD4EB9" w:rsidRPr="004F6FA4" w:rsidRDefault="00AD4EB9" w:rsidP="004F6FA4">
            <w:pPr>
              <w:pStyle w:val="Table"/>
              <w:rPr>
                <w:b/>
                <w:bCs/>
              </w:rPr>
            </w:pPr>
            <w:r w:rsidRPr="004F6FA4">
              <w:rPr>
                <w:b/>
                <w:bCs/>
              </w:rPr>
              <w:t>Vaccination capacity</w:t>
            </w:r>
          </w:p>
        </w:tc>
        <w:tc>
          <w:tcPr>
            <w:tcW w:w="720" w:type="dxa"/>
          </w:tcPr>
          <w:p w14:paraId="2E06F8D9" w14:textId="10E8F49B" w:rsidR="00AD4EB9" w:rsidRPr="004F6FA4" w:rsidRDefault="00AD4EB9" w:rsidP="004F6FA4">
            <w:pPr>
              <w:pStyle w:val="Table"/>
              <w:rPr>
                <w:b/>
                <w:bCs/>
              </w:rPr>
            </w:pPr>
            <w:r w:rsidRPr="004F6FA4">
              <w:rPr>
                <w:b/>
                <w:bCs/>
              </w:rPr>
              <w:t>Vaccination hesitancy</w:t>
            </w:r>
          </w:p>
        </w:tc>
        <w:tc>
          <w:tcPr>
            <w:tcW w:w="782" w:type="dxa"/>
          </w:tcPr>
          <w:p w14:paraId="5BECD4A0" w14:textId="34815C64" w:rsidR="00AD4EB9" w:rsidRPr="004F6FA4" w:rsidRDefault="00AD4EB9" w:rsidP="004F6FA4">
            <w:pPr>
              <w:pStyle w:val="Table"/>
              <w:rPr>
                <w:b/>
                <w:bCs/>
              </w:rPr>
            </w:pPr>
            <w:r w:rsidRPr="004F6FA4">
              <w:rPr>
                <w:b/>
                <w:bCs/>
              </w:rPr>
              <w:t xml:space="preserve">Equity metric </w:t>
            </w:r>
          </w:p>
        </w:tc>
        <w:tc>
          <w:tcPr>
            <w:tcW w:w="1514" w:type="dxa"/>
          </w:tcPr>
          <w:p w14:paraId="27A5E275" w14:textId="02107B49" w:rsidR="00AD4EB9" w:rsidRPr="004F6FA4" w:rsidRDefault="00AD4EB9" w:rsidP="004F6FA4">
            <w:pPr>
              <w:pStyle w:val="Table"/>
              <w:rPr>
                <w:b/>
                <w:bCs/>
              </w:rPr>
            </w:pPr>
            <w:r w:rsidRPr="004F6FA4">
              <w:rPr>
                <w:b/>
                <w:bCs/>
              </w:rPr>
              <w:t>Efficiency/Effectiveness</w:t>
            </w:r>
          </w:p>
          <w:p w14:paraId="21ED5E4D" w14:textId="77777777" w:rsidR="00AD4EB9" w:rsidRPr="004F6FA4" w:rsidRDefault="00AD4EB9" w:rsidP="004F6FA4">
            <w:pPr>
              <w:pStyle w:val="Table"/>
              <w:rPr>
                <w:b/>
                <w:bCs/>
              </w:rPr>
            </w:pPr>
            <w:r w:rsidRPr="004F6FA4">
              <w:rPr>
                <w:b/>
                <w:bCs/>
              </w:rPr>
              <w:t>metric</w:t>
            </w:r>
          </w:p>
        </w:tc>
        <w:tc>
          <w:tcPr>
            <w:tcW w:w="986" w:type="dxa"/>
          </w:tcPr>
          <w:p w14:paraId="2A476180" w14:textId="77777777" w:rsidR="00AD4EB9" w:rsidRPr="004F6FA4" w:rsidRDefault="00AD4EB9" w:rsidP="004F6FA4">
            <w:pPr>
              <w:pStyle w:val="Table"/>
              <w:rPr>
                <w:b/>
                <w:bCs/>
              </w:rPr>
            </w:pPr>
            <w:r w:rsidRPr="004F6FA4">
              <w:rPr>
                <w:b/>
                <w:bCs/>
              </w:rPr>
              <w:t>Method</w:t>
            </w:r>
          </w:p>
        </w:tc>
        <w:tc>
          <w:tcPr>
            <w:tcW w:w="588" w:type="dxa"/>
          </w:tcPr>
          <w:p w14:paraId="754CDF92" w14:textId="77777777" w:rsidR="00AD4EB9" w:rsidRPr="004F6FA4" w:rsidRDefault="00AD4EB9" w:rsidP="004F6FA4">
            <w:pPr>
              <w:pStyle w:val="Table"/>
              <w:rPr>
                <w:b/>
                <w:bCs/>
              </w:rPr>
            </w:pPr>
            <w:r w:rsidRPr="004F6FA4">
              <w:rPr>
                <w:b/>
                <w:bCs/>
              </w:rPr>
              <w:t>CDC phase (1,2,3)</w:t>
            </w:r>
          </w:p>
        </w:tc>
        <w:tc>
          <w:tcPr>
            <w:tcW w:w="592" w:type="dxa"/>
          </w:tcPr>
          <w:p w14:paraId="2129E525" w14:textId="77777777" w:rsidR="00AD4EB9" w:rsidRPr="004F6FA4" w:rsidRDefault="00AD4EB9" w:rsidP="004F6FA4">
            <w:pPr>
              <w:pStyle w:val="Table"/>
              <w:rPr>
                <w:b/>
                <w:bCs/>
              </w:rPr>
            </w:pPr>
            <w:r w:rsidRPr="004F6FA4">
              <w:rPr>
                <w:b/>
                <w:bCs/>
              </w:rPr>
              <w:t>Strategist/ tactical</w:t>
            </w:r>
          </w:p>
        </w:tc>
        <w:tc>
          <w:tcPr>
            <w:tcW w:w="602" w:type="dxa"/>
          </w:tcPr>
          <w:p w14:paraId="5F486EB7" w14:textId="77777777" w:rsidR="00AD4EB9" w:rsidRPr="004F6FA4" w:rsidRDefault="00AD4EB9" w:rsidP="004F6FA4">
            <w:pPr>
              <w:pStyle w:val="Table"/>
              <w:rPr>
                <w:b/>
                <w:bCs/>
              </w:rPr>
            </w:pPr>
            <w:r w:rsidRPr="004F6FA4">
              <w:rPr>
                <w:b/>
                <w:bCs/>
              </w:rPr>
              <w:t>Location</w:t>
            </w:r>
          </w:p>
        </w:tc>
        <w:tc>
          <w:tcPr>
            <w:tcW w:w="691" w:type="dxa"/>
          </w:tcPr>
          <w:p w14:paraId="78CC5E1C" w14:textId="77777777" w:rsidR="00AD4EB9" w:rsidRPr="004F6FA4" w:rsidRDefault="00AD4EB9" w:rsidP="004F6FA4">
            <w:pPr>
              <w:pStyle w:val="Table"/>
              <w:rPr>
                <w:b/>
                <w:bCs/>
              </w:rPr>
            </w:pPr>
            <w:r w:rsidRPr="004F6FA4">
              <w:rPr>
                <w:b/>
                <w:bCs/>
              </w:rPr>
              <w:t>Allocation</w:t>
            </w:r>
          </w:p>
        </w:tc>
      </w:tr>
      <w:tr w:rsidR="00AD4EB9" w:rsidRPr="00106C79" w14:paraId="0936EF02" w14:textId="77777777" w:rsidTr="00AD4EB9">
        <w:trPr>
          <w:jc w:val="center"/>
        </w:trPr>
        <w:tc>
          <w:tcPr>
            <w:tcW w:w="842" w:type="dxa"/>
          </w:tcPr>
          <w:p w14:paraId="2066B38E" w14:textId="066688FE" w:rsidR="00AD4EB9" w:rsidRPr="004F6FA4" w:rsidRDefault="00AD4EB9" w:rsidP="004F6FA4">
            <w:pPr>
              <w:pStyle w:val="Table"/>
            </w:pPr>
            <w:r w:rsidRPr="004F6FA4">
              <w:fldChar w:fldCharType="begin" w:fldLock="1"/>
            </w:r>
            <w:r w:rsidR="00317095">
              <w:instrText>ADDIN CSL_CITATION {"citationItems":[{"id":"ITEM-1","itemData":{"DOI":"10.1016/j.omega.2023.102898","ISSN":"0305-0483","author":[{"dropping-particle":"","family":"Orgut","given":"Irem Sengul","non-dropping-particle":"","parse-names":false,"suffix":""},{"dropping-particle":"","family":"Freeman","given":"Nickolas","non-dropping-particle":"","parse-names":false,"suffix":""},{"dropping-particle":"","family":"Lewis","given":"Dwight","non-dropping-particle":"","parse-names":false,"suffix":""},{"dropping-particle":"","family":"Parton","given":"Jason","non-dropping-particle":"","parse-names":false,"suffix":""}],"container-title":"Omega","id":"ITEM-1","issued":{"date-parts":[["2023"]]},"page":"102898","publisher":"Elsevier Ltd","title":"Equitable and Effective Vaccine Access Considering Vaccine Hesitancy and Capacity Constraints","type":"article-journal"},"uris":["http://www.mendeley.com/documents/?uuid=fd23d274-6471-4b2e-b1de-8633b6c76c0c"]}],"mendeley":{"formattedCitation":"(Orgut et al., 2023)","plainTextFormattedCitation":"(Orgut et al., 2023)","previouslyFormattedCitation":"(Orgut et al., 2023)"},"properties":{"noteIndex":0},"schema":"https://github.com/citation-style-language/schema/raw/master/csl-citation.json"}</w:instrText>
            </w:r>
            <w:r w:rsidRPr="004F6FA4">
              <w:fldChar w:fldCharType="separate"/>
            </w:r>
            <w:r w:rsidR="008D2835" w:rsidRPr="008D2835">
              <w:rPr>
                <w:noProof/>
              </w:rPr>
              <w:t>(Orgut et al., 2023)</w:t>
            </w:r>
            <w:r w:rsidRPr="004F6FA4">
              <w:fldChar w:fldCharType="end"/>
            </w:r>
          </w:p>
        </w:tc>
        <w:tc>
          <w:tcPr>
            <w:tcW w:w="503" w:type="dxa"/>
          </w:tcPr>
          <w:p w14:paraId="1F031C5D" w14:textId="77777777" w:rsidR="00AD4EB9" w:rsidRPr="004F6FA4" w:rsidRDefault="00AD4EB9" w:rsidP="004F6FA4">
            <w:pPr>
              <w:pStyle w:val="Table"/>
            </w:pPr>
            <w:r w:rsidRPr="004F6FA4">
              <w:t>Single</w:t>
            </w:r>
          </w:p>
        </w:tc>
        <w:tc>
          <w:tcPr>
            <w:tcW w:w="900" w:type="dxa"/>
          </w:tcPr>
          <w:p w14:paraId="5563E417" w14:textId="77777777" w:rsidR="00AD4EB9" w:rsidRPr="004F6FA4" w:rsidRDefault="00AD4EB9" w:rsidP="004F6FA4">
            <w:pPr>
              <w:pStyle w:val="Table"/>
            </w:pPr>
            <w:r w:rsidRPr="004F6FA4">
              <w:t>Single</w:t>
            </w:r>
          </w:p>
        </w:tc>
        <w:tc>
          <w:tcPr>
            <w:tcW w:w="630" w:type="dxa"/>
          </w:tcPr>
          <w:p w14:paraId="74322B0E" w14:textId="77777777" w:rsidR="00AD4EB9" w:rsidRPr="004F6FA4" w:rsidRDefault="00AD4EB9" w:rsidP="004F6FA4">
            <w:pPr>
              <w:pStyle w:val="Table"/>
            </w:pPr>
            <w:r w:rsidRPr="004F6FA4">
              <w:t>Yes</w:t>
            </w:r>
          </w:p>
        </w:tc>
        <w:tc>
          <w:tcPr>
            <w:tcW w:w="720" w:type="dxa"/>
          </w:tcPr>
          <w:p w14:paraId="43AABD15" w14:textId="77777777" w:rsidR="00AD4EB9" w:rsidRPr="004F6FA4" w:rsidRDefault="00AD4EB9" w:rsidP="004F6FA4">
            <w:pPr>
              <w:pStyle w:val="Table"/>
            </w:pPr>
            <w:r w:rsidRPr="004F6FA4">
              <w:t>*</w:t>
            </w:r>
          </w:p>
        </w:tc>
        <w:tc>
          <w:tcPr>
            <w:tcW w:w="782" w:type="dxa"/>
          </w:tcPr>
          <w:p w14:paraId="03C139DA" w14:textId="2BB16FAF" w:rsidR="00AD4EB9" w:rsidRPr="004F6FA4" w:rsidRDefault="00AD4EB9" w:rsidP="004F6FA4">
            <w:pPr>
              <w:pStyle w:val="Table"/>
            </w:pPr>
            <w:r w:rsidRPr="004F6FA4">
              <w:t>Travel durations</w:t>
            </w:r>
          </w:p>
        </w:tc>
        <w:tc>
          <w:tcPr>
            <w:tcW w:w="1514" w:type="dxa"/>
          </w:tcPr>
          <w:p w14:paraId="589CB0EE" w14:textId="5C1EF6F1" w:rsidR="00AD4EB9" w:rsidRPr="004F6FA4" w:rsidRDefault="00AD4EB9" w:rsidP="004F6FA4">
            <w:pPr>
              <w:pStyle w:val="Table"/>
            </w:pPr>
            <w:r w:rsidRPr="004F6FA4">
              <w:t>Minimizing the number of unused vaccines and</w:t>
            </w:r>
          </w:p>
          <w:p w14:paraId="0E3C7AE6" w14:textId="4D6F8C76" w:rsidR="00AD4EB9" w:rsidRPr="004F6FA4" w:rsidRDefault="00AD4EB9" w:rsidP="004F6FA4">
            <w:pPr>
              <w:pStyle w:val="Table"/>
            </w:pPr>
            <w:r w:rsidRPr="004F6FA4">
              <w:t>percentage of unmet demand</w:t>
            </w:r>
          </w:p>
        </w:tc>
        <w:tc>
          <w:tcPr>
            <w:tcW w:w="986" w:type="dxa"/>
          </w:tcPr>
          <w:p w14:paraId="41437444" w14:textId="77777777" w:rsidR="00AD4EB9" w:rsidRPr="004F6FA4" w:rsidRDefault="00AD4EB9" w:rsidP="004F6FA4">
            <w:pPr>
              <w:pStyle w:val="Table"/>
            </w:pPr>
            <w:r w:rsidRPr="004F6FA4">
              <w:t>Mixed-Integer Linear Programming </w:t>
            </w:r>
          </w:p>
        </w:tc>
        <w:tc>
          <w:tcPr>
            <w:tcW w:w="588" w:type="dxa"/>
          </w:tcPr>
          <w:p w14:paraId="41E44508" w14:textId="77777777" w:rsidR="00AD4EB9" w:rsidRPr="004F6FA4" w:rsidRDefault="00AD4EB9" w:rsidP="004F6FA4">
            <w:pPr>
              <w:pStyle w:val="Table"/>
            </w:pPr>
            <w:r w:rsidRPr="004F6FA4">
              <w:t>2, 3</w:t>
            </w:r>
          </w:p>
        </w:tc>
        <w:tc>
          <w:tcPr>
            <w:tcW w:w="592" w:type="dxa"/>
          </w:tcPr>
          <w:p w14:paraId="6D392C21" w14:textId="77777777" w:rsidR="00AD4EB9" w:rsidRPr="004F6FA4" w:rsidRDefault="00AD4EB9" w:rsidP="004F6FA4">
            <w:pPr>
              <w:pStyle w:val="Table"/>
            </w:pPr>
            <w:r w:rsidRPr="004F6FA4">
              <w:t>tactical</w:t>
            </w:r>
          </w:p>
        </w:tc>
        <w:tc>
          <w:tcPr>
            <w:tcW w:w="602" w:type="dxa"/>
          </w:tcPr>
          <w:p w14:paraId="455EE13A" w14:textId="77777777" w:rsidR="00AD4EB9" w:rsidRPr="004F6FA4" w:rsidRDefault="00AD4EB9" w:rsidP="004F6FA4">
            <w:pPr>
              <w:pStyle w:val="Table"/>
            </w:pPr>
          </w:p>
        </w:tc>
        <w:tc>
          <w:tcPr>
            <w:tcW w:w="691" w:type="dxa"/>
          </w:tcPr>
          <w:p w14:paraId="63F355FE" w14:textId="77777777" w:rsidR="00AD4EB9" w:rsidRPr="004F6FA4" w:rsidRDefault="00AD4EB9" w:rsidP="004F6FA4">
            <w:pPr>
              <w:pStyle w:val="Table"/>
            </w:pPr>
            <w:r w:rsidRPr="004F6FA4">
              <w:t>*</w:t>
            </w:r>
          </w:p>
        </w:tc>
      </w:tr>
      <w:tr w:rsidR="00AD4EB9" w:rsidRPr="00106C79" w14:paraId="729D548A" w14:textId="77777777" w:rsidTr="00AD4EB9">
        <w:trPr>
          <w:trHeight w:val="998"/>
          <w:jc w:val="center"/>
        </w:trPr>
        <w:tc>
          <w:tcPr>
            <w:tcW w:w="842" w:type="dxa"/>
          </w:tcPr>
          <w:p w14:paraId="1B7BCB43" w14:textId="4F33A772" w:rsidR="00AD4EB9" w:rsidRPr="006B71F7" w:rsidRDefault="00AD4EB9" w:rsidP="004F6FA4">
            <w:pPr>
              <w:pStyle w:val="Table"/>
            </w:pPr>
            <w:r w:rsidRPr="006B71F7">
              <w:fldChar w:fldCharType="begin" w:fldLock="1"/>
            </w:r>
            <w:r w:rsidR="00317095">
              <w:instrText>ADDIN CSL_CITATION {"citationItems":[{"id":"ITEM-1","itemData":{"DOI":"10.1080/00207543.2022.2110014","ISSN":"1366588X","abstract":"Given the scarcity of COVID-19 vaccines, equitable (fair) allocation of limited vaccines across the main administrative units of a country (e.g. municipalities) has been an important concern for public health authorities worldwide. In this study, we address the equitable allocation of the COVID-19 vaccines inside countries by developing a novel, evidence-based mathematical model that accounts for multiple priority groups (e.g. elderly, healthcare workers), multiple vaccine types, and regional characteristics (e.g. storage capacities, infection risk levels). Our research contributes to the literature by developing and validating a model that proposes equitable vaccine allocation alternatives in a very short time by (a) minimising deviations from the so-called ‘fair coverage’ levels that are computed based on weighted pro-rata rations, and (b) imposing minimum coverage thresholds to control the allocation of vaccines to higher priority groups and regions. To describe the merits of our model, we provide several equity and effectiveness metrics, and present insights on different allocation policies. We compare our methodology with similar models in the literature and show its better performance in achieving equity. To illustrate the performance of our model in practice, we perform a comprehensive numerical study based on actual data corresponding to the early vaccination period in Turkey.","author":[{"dropping-particle":"","family":"Balcik","given":"Burcu","non-dropping-particle":"","parse-names":false,"suffix":""},{"dropping-particle":"","family":"Yucesoy","given":"Ecem","non-dropping-particle":"","parse-names":false,"suffix":""},{"dropping-particle":"","family":"Akca","given":"Berna","non-dropping-particle":"","parse-names":false,"suffix":""},{"dropping-particle":"","family":"Karakaya","given":"Sirma","non-dropping-particle":"","parse-names":false,"suffix":""},{"dropping-particle":"","family":"Gevsek","given":"Asena A.","non-dropping-particle":"","parse-names":false,"suffix":""},{"dropping-particle":"","family":"Baharmand","given":"Hossein","non-dropping-particle":"","parse-names":false,"suffix":""},{"dropping-particle":"","family":"Sgarbossa","given":"Fabio","non-dropping-particle":"","parse-names":false,"suffix":""}],"container-title":"International Journal of Production Research","id":"ITEM-1","issue":"24","issued":{"date-parts":[["2022"]]},"page":"7502-7526","publisher":"Taylor &amp; Francis","title":"A mathematical model for equitable in-country COVID-19 vaccine allocation","type":"article-journal","volume":"60"},"uris":["http://www.mendeley.com/documents/?uuid=8ce9a6fe-30ed-4a4c-ab45-c23c74234d3a"]}],"mendeley":{"formattedCitation":"(Balcik et al., 2022)","plainTextFormattedCitation":"(Balcik et al., 2022)","previouslyFormattedCitation":"(Balcik et al., 2022)"},"properties":{"noteIndex":0},"schema":"https://github.com/citation-style-language/schema/raw/master/csl-citation.json"}</w:instrText>
            </w:r>
            <w:r w:rsidRPr="006B71F7">
              <w:fldChar w:fldCharType="separate"/>
            </w:r>
            <w:r w:rsidR="008D2835" w:rsidRPr="008D2835">
              <w:rPr>
                <w:noProof/>
              </w:rPr>
              <w:t>(Balcik et al., 2022)</w:t>
            </w:r>
            <w:r w:rsidRPr="006B71F7">
              <w:fldChar w:fldCharType="end"/>
            </w:r>
          </w:p>
        </w:tc>
        <w:tc>
          <w:tcPr>
            <w:tcW w:w="503" w:type="dxa"/>
          </w:tcPr>
          <w:p w14:paraId="77319145" w14:textId="77777777" w:rsidR="00AD4EB9" w:rsidRPr="004F6FA4" w:rsidRDefault="00AD4EB9" w:rsidP="004F6FA4">
            <w:pPr>
              <w:pStyle w:val="Table"/>
            </w:pPr>
            <w:r w:rsidRPr="004F6FA4">
              <w:t>single</w:t>
            </w:r>
          </w:p>
        </w:tc>
        <w:tc>
          <w:tcPr>
            <w:tcW w:w="900" w:type="dxa"/>
          </w:tcPr>
          <w:p w14:paraId="439EEC4B" w14:textId="6771415D" w:rsidR="00AD4EB9" w:rsidRPr="004F6FA4" w:rsidRDefault="00AD4EB9" w:rsidP="004F6FA4">
            <w:pPr>
              <w:pStyle w:val="Table"/>
            </w:pPr>
            <w:r w:rsidRPr="004F6FA4">
              <w:t>Multi</w:t>
            </w:r>
          </w:p>
        </w:tc>
        <w:tc>
          <w:tcPr>
            <w:tcW w:w="630" w:type="dxa"/>
          </w:tcPr>
          <w:p w14:paraId="42DBC633" w14:textId="77777777" w:rsidR="00AD4EB9" w:rsidRPr="004F6FA4" w:rsidRDefault="00AD4EB9" w:rsidP="004F6FA4">
            <w:pPr>
              <w:pStyle w:val="Table"/>
            </w:pPr>
            <w:r w:rsidRPr="004F6FA4">
              <w:t>Yes</w:t>
            </w:r>
          </w:p>
        </w:tc>
        <w:tc>
          <w:tcPr>
            <w:tcW w:w="720" w:type="dxa"/>
          </w:tcPr>
          <w:p w14:paraId="044F5AE9" w14:textId="77777777" w:rsidR="00AD4EB9" w:rsidRPr="004F6FA4" w:rsidRDefault="00AD4EB9" w:rsidP="004F6FA4">
            <w:pPr>
              <w:pStyle w:val="Table"/>
            </w:pPr>
            <w:r w:rsidRPr="004F6FA4">
              <w:t>-</w:t>
            </w:r>
          </w:p>
        </w:tc>
        <w:tc>
          <w:tcPr>
            <w:tcW w:w="782" w:type="dxa"/>
          </w:tcPr>
          <w:p w14:paraId="1C219477" w14:textId="2A78999D" w:rsidR="00AD4EB9" w:rsidRPr="004F6FA4" w:rsidRDefault="00AD4EB9" w:rsidP="004F6FA4">
            <w:pPr>
              <w:pStyle w:val="Table"/>
            </w:pPr>
            <w:r w:rsidRPr="004F6FA4">
              <w:t xml:space="preserve">Deviation from pre-determined fair coverage levels </w:t>
            </w:r>
          </w:p>
        </w:tc>
        <w:tc>
          <w:tcPr>
            <w:tcW w:w="1514" w:type="dxa"/>
          </w:tcPr>
          <w:p w14:paraId="22A0B009" w14:textId="6B045817" w:rsidR="00AD4EB9" w:rsidRPr="004F6FA4" w:rsidRDefault="00AD4EB9" w:rsidP="004F6FA4">
            <w:pPr>
              <w:pStyle w:val="Table"/>
            </w:pPr>
            <w:r w:rsidRPr="004F6FA4">
              <w:t>Overall vaccine coverage</w:t>
            </w:r>
          </w:p>
        </w:tc>
        <w:tc>
          <w:tcPr>
            <w:tcW w:w="986" w:type="dxa"/>
          </w:tcPr>
          <w:p w14:paraId="098E14A7" w14:textId="066C804F" w:rsidR="00AD4EB9" w:rsidRPr="004F6FA4" w:rsidRDefault="00AD4EB9" w:rsidP="004F6FA4">
            <w:pPr>
              <w:pStyle w:val="Table"/>
            </w:pPr>
            <w:r w:rsidRPr="004F6FA4">
              <w:t>Integer programming</w:t>
            </w:r>
          </w:p>
        </w:tc>
        <w:tc>
          <w:tcPr>
            <w:tcW w:w="588" w:type="dxa"/>
          </w:tcPr>
          <w:p w14:paraId="54ED5403" w14:textId="77777777" w:rsidR="00AD4EB9" w:rsidRPr="004F6FA4" w:rsidRDefault="00AD4EB9" w:rsidP="004F6FA4">
            <w:pPr>
              <w:pStyle w:val="Table"/>
            </w:pPr>
            <w:r w:rsidRPr="004F6FA4">
              <w:t>1</w:t>
            </w:r>
          </w:p>
        </w:tc>
        <w:tc>
          <w:tcPr>
            <w:tcW w:w="592" w:type="dxa"/>
          </w:tcPr>
          <w:p w14:paraId="2FBCDE58" w14:textId="77777777" w:rsidR="00AD4EB9" w:rsidRPr="004F6FA4" w:rsidRDefault="00AD4EB9" w:rsidP="004F6FA4">
            <w:pPr>
              <w:pStyle w:val="Table"/>
            </w:pPr>
            <w:r w:rsidRPr="004F6FA4">
              <w:t>Tactical</w:t>
            </w:r>
          </w:p>
        </w:tc>
        <w:tc>
          <w:tcPr>
            <w:tcW w:w="602" w:type="dxa"/>
          </w:tcPr>
          <w:p w14:paraId="7BAA94FB" w14:textId="77777777" w:rsidR="00AD4EB9" w:rsidRPr="004F6FA4" w:rsidRDefault="00AD4EB9" w:rsidP="004F6FA4">
            <w:pPr>
              <w:pStyle w:val="Table"/>
            </w:pPr>
          </w:p>
        </w:tc>
        <w:tc>
          <w:tcPr>
            <w:tcW w:w="691" w:type="dxa"/>
          </w:tcPr>
          <w:p w14:paraId="5A22582B" w14:textId="77777777" w:rsidR="00AD4EB9" w:rsidRPr="004F6FA4" w:rsidRDefault="00AD4EB9" w:rsidP="004F6FA4">
            <w:pPr>
              <w:pStyle w:val="Table"/>
            </w:pPr>
            <w:r w:rsidRPr="004F6FA4">
              <w:t>*</w:t>
            </w:r>
          </w:p>
        </w:tc>
      </w:tr>
      <w:tr w:rsidR="00AD4EB9" w:rsidRPr="00106C79" w14:paraId="3615CB34" w14:textId="77777777" w:rsidTr="00AD4EB9">
        <w:trPr>
          <w:jc w:val="center"/>
        </w:trPr>
        <w:tc>
          <w:tcPr>
            <w:tcW w:w="842" w:type="dxa"/>
          </w:tcPr>
          <w:p w14:paraId="18C13A0E" w14:textId="720DDEBB" w:rsidR="00AD4EB9" w:rsidRPr="006B71F7" w:rsidRDefault="00AD4EB9" w:rsidP="004F6FA4">
            <w:pPr>
              <w:pStyle w:val="Table"/>
            </w:pPr>
            <w:r w:rsidRPr="006B71F7">
              <w:fldChar w:fldCharType="begin" w:fldLock="1"/>
            </w:r>
            <w:r w:rsidR="00317095">
              <w:instrText>ADDIN CSL_CITATION {"citationItems":[{"id":"ITEM-1","itemData":{"DOI":"10.1016/j.ejor.2019.11.025","abstract":"This paper is concerned with the optimal influenza vaccine distribution in a heterogeneous population consisting of multiple subgroups. We employ a compartmental model for influenza transmission and formulate a mathematical program to minimize the number of vaccine doses distributed to effectively extinguish an emerging outbreak in its early stages. We propose an equity constraint to help public health authorities consider fairness when making vaccine distribution decisions. We develop an exact solution approach that generates a vaccine distribution policy with a solution quality guarantee. We perform sensitivity analyses on key epidemic parameters in order to illustrate the application of the proposed model. We then analyze the scalability of the solution approach for a population consisting of subgroups based on geographic location and age. We finally demonstrate the proposed model's ability to consider vaccine coverage inequity and discuss a derivative-free optimization approach, as an alternative solution method which can consider various different objective functions and constraints. Our results indicate that consideration of group-specific transmission dynamics is paramount to the optimal distribution of influenza vaccines.","author":[{"dropping-particle":"","family":"Enayati","given":"Shakiba","non-dropping-particle":"","parse-names":false,"suffix":""},{"dropping-particle":"","family":"Özaltın","given":"Osman Y","non-dropping-particle":"","parse-names":false,"suffix":""}],"container-title":"European Journal of Operational Research","id":"ITEM-1","issued":{"date-parts":[["2020"]]},"page":"714-725","title":"Optimal influenza vaccine distribution with equity","type":"article-journal","volume":"283"},"uris":["http://www.mendeley.com/documents/?uuid=04f35779-9538-3dd9-9a56-5cd96ae7e68b"]}],"mendeley":{"formattedCitation":"(Enayati &amp; Özaltın, 2020)","plainTextFormattedCitation":"(Enayati &amp; Özaltın, 2020)","previouslyFormattedCitation":"(Enayati &amp; Özaltın, 2020)"},"properties":{"noteIndex":0},"schema":"https://github.com/citation-style-language/schema/raw/master/csl-citation.json"}</w:instrText>
            </w:r>
            <w:r w:rsidRPr="006B71F7">
              <w:fldChar w:fldCharType="separate"/>
            </w:r>
            <w:r w:rsidR="008D2835" w:rsidRPr="008D2835">
              <w:rPr>
                <w:noProof/>
              </w:rPr>
              <w:t>(Enayati &amp; Özaltın, 2020)</w:t>
            </w:r>
            <w:r w:rsidRPr="006B71F7">
              <w:fldChar w:fldCharType="end"/>
            </w:r>
          </w:p>
        </w:tc>
        <w:tc>
          <w:tcPr>
            <w:tcW w:w="503" w:type="dxa"/>
          </w:tcPr>
          <w:p w14:paraId="47DCF1BE" w14:textId="77777777" w:rsidR="00AD4EB9" w:rsidRPr="004F6FA4" w:rsidRDefault="00AD4EB9" w:rsidP="004F6FA4">
            <w:pPr>
              <w:pStyle w:val="Table"/>
            </w:pPr>
            <w:r w:rsidRPr="004F6FA4">
              <w:t>Single</w:t>
            </w:r>
          </w:p>
        </w:tc>
        <w:tc>
          <w:tcPr>
            <w:tcW w:w="900" w:type="dxa"/>
          </w:tcPr>
          <w:p w14:paraId="0232EAE2" w14:textId="77777777" w:rsidR="00AD4EB9" w:rsidRPr="004F6FA4" w:rsidRDefault="00AD4EB9" w:rsidP="004F6FA4">
            <w:pPr>
              <w:pStyle w:val="Table"/>
            </w:pPr>
            <w:r w:rsidRPr="004F6FA4">
              <w:t>Single</w:t>
            </w:r>
          </w:p>
        </w:tc>
        <w:tc>
          <w:tcPr>
            <w:tcW w:w="630" w:type="dxa"/>
          </w:tcPr>
          <w:p w14:paraId="76697FF1" w14:textId="30642BE7" w:rsidR="00AD4EB9" w:rsidRPr="004F6FA4" w:rsidRDefault="00F626D0" w:rsidP="004F6FA4">
            <w:pPr>
              <w:pStyle w:val="Table"/>
            </w:pPr>
            <w:r>
              <w:t>-</w:t>
            </w:r>
          </w:p>
        </w:tc>
        <w:tc>
          <w:tcPr>
            <w:tcW w:w="720" w:type="dxa"/>
          </w:tcPr>
          <w:p w14:paraId="485E4853" w14:textId="77777777" w:rsidR="00AD4EB9" w:rsidRPr="004F6FA4" w:rsidRDefault="00AD4EB9" w:rsidP="004F6FA4">
            <w:pPr>
              <w:pStyle w:val="Table"/>
            </w:pPr>
            <w:r w:rsidRPr="004F6FA4">
              <w:t>-</w:t>
            </w:r>
          </w:p>
        </w:tc>
        <w:tc>
          <w:tcPr>
            <w:tcW w:w="782" w:type="dxa"/>
          </w:tcPr>
          <w:p w14:paraId="57E00088" w14:textId="74FD70B8" w:rsidR="00AD4EB9" w:rsidRPr="004F6FA4" w:rsidRDefault="00AD4EB9" w:rsidP="004F6FA4">
            <w:pPr>
              <w:pStyle w:val="Table"/>
            </w:pPr>
            <w:r w:rsidRPr="004F6FA4">
              <w:t>Gini Coefficient</w:t>
            </w:r>
          </w:p>
        </w:tc>
        <w:tc>
          <w:tcPr>
            <w:tcW w:w="1514" w:type="dxa"/>
          </w:tcPr>
          <w:p w14:paraId="4781522C" w14:textId="77777777" w:rsidR="00AD4EB9" w:rsidRPr="004F6FA4" w:rsidRDefault="00AD4EB9" w:rsidP="004F6FA4">
            <w:pPr>
              <w:pStyle w:val="Table"/>
            </w:pPr>
            <w:r w:rsidRPr="004F6FA4">
              <w:t>Reducing spread of a disease</w:t>
            </w:r>
          </w:p>
        </w:tc>
        <w:tc>
          <w:tcPr>
            <w:tcW w:w="986" w:type="dxa"/>
          </w:tcPr>
          <w:p w14:paraId="473A49FC" w14:textId="07BCFE79" w:rsidR="00AD4EB9" w:rsidRPr="004F6FA4" w:rsidRDefault="00AD4EB9" w:rsidP="004F6FA4">
            <w:pPr>
              <w:pStyle w:val="Table"/>
            </w:pPr>
            <w:r w:rsidRPr="004F6FA4">
              <w:t>SEIR epidemic models</w:t>
            </w:r>
          </w:p>
          <w:p w14:paraId="223526E2" w14:textId="77777777" w:rsidR="00AD4EB9" w:rsidRPr="004F6FA4" w:rsidRDefault="00AD4EB9" w:rsidP="004F6FA4">
            <w:pPr>
              <w:pStyle w:val="Table"/>
            </w:pPr>
          </w:p>
          <w:p w14:paraId="6C2179E0" w14:textId="77777777" w:rsidR="00AD4EB9" w:rsidRPr="004F6FA4" w:rsidRDefault="00AD4EB9" w:rsidP="004F6FA4">
            <w:pPr>
              <w:pStyle w:val="Table"/>
            </w:pPr>
          </w:p>
        </w:tc>
        <w:tc>
          <w:tcPr>
            <w:tcW w:w="588" w:type="dxa"/>
          </w:tcPr>
          <w:p w14:paraId="42209088" w14:textId="77777777" w:rsidR="00AD4EB9" w:rsidRPr="004F6FA4" w:rsidRDefault="00AD4EB9" w:rsidP="004F6FA4">
            <w:pPr>
              <w:pStyle w:val="Table"/>
            </w:pPr>
            <w:r w:rsidRPr="004F6FA4">
              <w:t>1</w:t>
            </w:r>
          </w:p>
        </w:tc>
        <w:tc>
          <w:tcPr>
            <w:tcW w:w="592" w:type="dxa"/>
          </w:tcPr>
          <w:p w14:paraId="765596EE" w14:textId="77777777" w:rsidR="00AD4EB9" w:rsidRPr="004F6FA4" w:rsidRDefault="00AD4EB9" w:rsidP="004F6FA4">
            <w:pPr>
              <w:pStyle w:val="Table"/>
            </w:pPr>
            <w:r w:rsidRPr="004F6FA4">
              <w:t>Operational</w:t>
            </w:r>
          </w:p>
        </w:tc>
        <w:tc>
          <w:tcPr>
            <w:tcW w:w="602" w:type="dxa"/>
          </w:tcPr>
          <w:p w14:paraId="4C8C2D62" w14:textId="77777777" w:rsidR="00AD4EB9" w:rsidRPr="004F6FA4" w:rsidRDefault="00AD4EB9" w:rsidP="004F6FA4">
            <w:pPr>
              <w:pStyle w:val="Table"/>
            </w:pPr>
          </w:p>
        </w:tc>
        <w:tc>
          <w:tcPr>
            <w:tcW w:w="691" w:type="dxa"/>
          </w:tcPr>
          <w:p w14:paraId="38B5EB6F" w14:textId="77777777" w:rsidR="00AD4EB9" w:rsidRPr="004F6FA4" w:rsidRDefault="00AD4EB9" w:rsidP="004F6FA4">
            <w:pPr>
              <w:pStyle w:val="Table"/>
            </w:pPr>
            <w:r w:rsidRPr="004F6FA4">
              <w:t>*</w:t>
            </w:r>
          </w:p>
        </w:tc>
      </w:tr>
      <w:tr w:rsidR="00AD4EB9" w:rsidRPr="00106C79" w14:paraId="0BEEB930" w14:textId="77777777" w:rsidTr="00AD4EB9">
        <w:trPr>
          <w:jc w:val="center"/>
        </w:trPr>
        <w:tc>
          <w:tcPr>
            <w:tcW w:w="842" w:type="dxa"/>
          </w:tcPr>
          <w:p w14:paraId="7D216779" w14:textId="717779D3" w:rsidR="00AD4EB9" w:rsidRPr="006B71F7" w:rsidRDefault="00AD4EB9" w:rsidP="004F6FA4">
            <w:pPr>
              <w:pStyle w:val="Table"/>
            </w:pPr>
            <w:r w:rsidRPr="006B71F7">
              <w:fldChar w:fldCharType="begin" w:fldLock="1"/>
            </w:r>
            <w:r w:rsidR="00317095">
              <w:instrText>ADDIN CSL_CITATION {"citationItems":[{"id":"ITEM-1","itemData":{"DOI":"10.1016/j.ijpe.2022.108684","ISSN":"0925-5273","author":[{"dropping-particle":"","family":"Dastgoshade","given":"Sohaib","non-dropping-particle":"","parse-names":false,"suffix":""},{"dropping-particle":"","family":"Shafiee","given":"Mohammad","non-dropping-particle":"","parse-names":false,"suffix":""},{"dropping-particle":"","family":"Klibi","given":"Walid","non-dropping-particle":"","parse-names":false,"suffix":""},{"dropping-particle":"","family":"Shishebori","given":"Davood","non-dropping-particle":"","parse-names":false,"suffix":""}],"container-title":"International Journal of Production Economics","id":"ITEM-1","issue":"June","issued":{"date-parts":[["2022"]]},"page":"108684","publisher":"Elsevier B.V.","title":"Social equity-based distribution networks design for the COVID-19 vaccine","type":"article-journal","volume":"250"},"uris":["http://www.mendeley.com/documents/?uuid=46c34dd5-12ca-49f8-b0f7-69838298a1d1"]}],"mendeley":{"formattedCitation":"(Dastgoshade et al., 2022)","plainTextFormattedCitation":"(Dastgoshade et al., 2022)","previouslyFormattedCitation":"(Dastgoshade et al., 2022)"},"properties":{"noteIndex":0},"schema":"https://github.com/citation-style-language/schema/raw/master/csl-citation.json"}</w:instrText>
            </w:r>
            <w:r w:rsidRPr="006B71F7">
              <w:fldChar w:fldCharType="separate"/>
            </w:r>
            <w:r w:rsidR="008D2835" w:rsidRPr="008D2835">
              <w:rPr>
                <w:noProof/>
              </w:rPr>
              <w:t>(Dastgoshade et al., 2022)</w:t>
            </w:r>
            <w:r w:rsidRPr="006B71F7">
              <w:fldChar w:fldCharType="end"/>
            </w:r>
          </w:p>
        </w:tc>
        <w:tc>
          <w:tcPr>
            <w:tcW w:w="503" w:type="dxa"/>
          </w:tcPr>
          <w:p w14:paraId="058B8825" w14:textId="77777777" w:rsidR="00AD4EB9" w:rsidRPr="004F6FA4" w:rsidRDefault="00AD4EB9" w:rsidP="004F6FA4">
            <w:pPr>
              <w:pStyle w:val="Table"/>
            </w:pPr>
          </w:p>
        </w:tc>
        <w:tc>
          <w:tcPr>
            <w:tcW w:w="900" w:type="dxa"/>
          </w:tcPr>
          <w:p w14:paraId="54F2983B" w14:textId="77777777" w:rsidR="00AD4EB9" w:rsidRPr="004F6FA4" w:rsidRDefault="00AD4EB9" w:rsidP="004F6FA4">
            <w:pPr>
              <w:pStyle w:val="Table"/>
            </w:pPr>
          </w:p>
        </w:tc>
        <w:tc>
          <w:tcPr>
            <w:tcW w:w="630" w:type="dxa"/>
          </w:tcPr>
          <w:p w14:paraId="79C6F063" w14:textId="77777777" w:rsidR="00AD4EB9" w:rsidRPr="004F6FA4" w:rsidRDefault="00AD4EB9" w:rsidP="004F6FA4">
            <w:pPr>
              <w:pStyle w:val="Table"/>
            </w:pPr>
          </w:p>
        </w:tc>
        <w:tc>
          <w:tcPr>
            <w:tcW w:w="720" w:type="dxa"/>
          </w:tcPr>
          <w:p w14:paraId="600107D0" w14:textId="77777777" w:rsidR="00AD4EB9" w:rsidRPr="004F6FA4" w:rsidRDefault="00AD4EB9" w:rsidP="004F6FA4">
            <w:pPr>
              <w:pStyle w:val="Table"/>
            </w:pPr>
            <w:r w:rsidRPr="004F6FA4">
              <w:t>-</w:t>
            </w:r>
          </w:p>
        </w:tc>
        <w:tc>
          <w:tcPr>
            <w:tcW w:w="782" w:type="dxa"/>
          </w:tcPr>
          <w:p w14:paraId="534A40CA" w14:textId="6BFE779E" w:rsidR="00AD4EB9" w:rsidRPr="004F6FA4" w:rsidRDefault="00622092" w:rsidP="004F6FA4">
            <w:pPr>
              <w:pStyle w:val="Table"/>
            </w:pPr>
            <w:r>
              <w:t>Social welfare</w:t>
            </w:r>
            <w:r w:rsidR="00AD4EB9">
              <w:t>,</w:t>
            </w:r>
            <w:r w:rsidR="00AD4EB9" w:rsidRPr="004F6FA4">
              <w:t xml:space="preserve"> Rawl, and</w:t>
            </w:r>
            <w:r w:rsidR="00AD4EB9">
              <w:t xml:space="preserve"> </w:t>
            </w:r>
            <w:r w:rsidR="00AD4EB9" w:rsidRPr="004F6FA4">
              <w:t>Sadr</w:t>
            </w:r>
            <w:r>
              <w:t xml:space="preserve"> </w:t>
            </w:r>
            <w:r w:rsidR="00AD4EB9">
              <w:t>theories</w:t>
            </w:r>
          </w:p>
        </w:tc>
        <w:tc>
          <w:tcPr>
            <w:tcW w:w="1514" w:type="dxa"/>
          </w:tcPr>
          <w:p w14:paraId="62A4771F" w14:textId="199C63E6" w:rsidR="00AD4EB9" w:rsidRPr="004F6FA4" w:rsidRDefault="00AD4EB9" w:rsidP="004F6FA4">
            <w:pPr>
              <w:pStyle w:val="Table"/>
            </w:pPr>
            <w:r>
              <w:t>C</w:t>
            </w:r>
            <w:r w:rsidRPr="004F6FA4">
              <w:t>ost-based efficiency</w:t>
            </w:r>
          </w:p>
        </w:tc>
        <w:tc>
          <w:tcPr>
            <w:tcW w:w="986" w:type="dxa"/>
          </w:tcPr>
          <w:p w14:paraId="5A7AD61F" w14:textId="77777777" w:rsidR="00AD4EB9" w:rsidRPr="004F6FA4" w:rsidRDefault="00AD4EB9" w:rsidP="004F6FA4">
            <w:pPr>
              <w:pStyle w:val="Table"/>
            </w:pPr>
          </w:p>
        </w:tc>
        <w:tc>
          <w:tcPr>
            <w:tcW w:w="588" w:type="dxa"/>
          </w:tcPr>
          <w:p w14:paraId="68E259F1" w14:textId="77777777" w:rsidR="00AD4EB9" w:rsidRPr="004F6FA4" w:rsidRDefault="00AD4EB9" w:rsidP="004F6FA4">
            <w:pPr>
              <w:pStyle w:val="Table"/>
            </w:pPr>
          </w:p>
        </w:tc>
        <w:tc>
          <w:tcPr>
            <w:tcW w:w="592" w:type="dxa"/>
          </w:tcPr>
          <w:p w14:paraId="4EA15814" w14:textId="77777777" w:rsidR="00AD4EB9" w:rsidRPr="004F6FA4" w:rsidRDefault="00AD4EB9" w:rsidP="004F6FA4">
            <w:pPr>
              <w:pStyle w:val="Table"/>
            </w:pPr>
            <w:r w:rsidRPr="004F6FA4">
              <w:t>??</w:t>
            </w:r>
          </w:p>
        </w:tc>
        <w:tc>
          <w:tcPr>
            <w:tcW w:w="602" w:type="dxa"/>
          </w:tcPr>
          <w:p w14:paraId="1EBCD5D4" w14:textId="77777777" w:rsidR="00AD4EB9" w:rsidRPr="004F6FA4" w:rsidRDefault="00AD4EB9" w:rsidP="004F6FA4">
            <w:pPr>
              <w:pStyle w:val="Table"/>
            </w:pPr>
          </w:p>
        </w:tc>
        <w:tc>
          <w:tcPr>
            <w:tcW w:w="691" w:type="dxa"/>
          </w:tcPr>
          <w:p w14:paraId="4D63E255" w14:textId="77777777" w:rsidR="00AD4EB9" w:rsidRPr="004F6FA4" w:rsidRDefault="00AD4EB9" w:rsidP="004F6FA4">
            <w:pPr>
              <w:pStyle w:val="Table"/>
            </w:pPr>
          </w:p>
        </w:tc>
      </w:tr>
      <w:tr w:rsidR="00AD4EB9" w:rsidRPr="00106C79" w14:paraId="083913B8" w14:textId="77777777" w:rsidTr="00AD4EB9">
        <w:trPr>
          <w:jc w:val="center"/>
        </w:trPr>
        <w:tc>
          <w:tcPr>
            <w:tcW w:w="842" w:type="dxa"/>
          </w:tcPr>
          <w:p w14:paraId="604325E6" w14:textId="7793E53D" w:rsidR="00AD4EB9" w:rsidRPr="006B71F7" w:rsidRDefault="00AD4EB9" w:rsidP="004F6FA4">
            <w:pPr>
              <w:pStyle w:val="Table"/>
            </w:pPr>
            <w:r w:rsidRPr="006B71F7">
              <w:lastRenderedPageBreak/>
              <w:fldChar w:fldCharType="begin" w:fldLock="1"/>
            </w:r>
            <w:r w:rsidR="00317095">
              <w:instrText>ADDIN CSL_CITATION {"citationItems":[{"id":"ITEM-1","itemData":{"DOI":"10.1111/ITOR.12758","ISSN":"14753995","abstract":"In most low- and middle-income countries supported by the World Health Organization's Expanded Program on Immunization, vaccines are distributed through a legacy medical supply chain that is typically not cost-efficient. Vaccines require storage and transport in a temperature-controlled environment; this requires a “cold” distribution chain with capacity constraints on cold storage and cold transport. We propose an approach to redesigning the vaccine distribution chain that includes locating a set of intermediate distribution centers (DCs) and determining the flow paths from the central store (where vaccines are received into a country) through one or more of these to health clinics where vaccination actually occurs. In addition, the transport vehicles to allocate to each flow path, and the cold storage devices to use at each clinic or intermediate DC are determined. The redesigned network does not have to follow the current four-tiered, arborescent structure commonly found in practice, but can use alternative network structures. To redesign this network optimally, we develop a mixed-integer programming (MIP) model that can be used for small-to-medium-sized problems and also present a hybrid heuristic–MIP method to obtain good solutions for larger problems. Numerical results are shown using data reflecting distribution networks in several countries in sub-Saharan Africa.","author":[{"dropping-particle":"","family":"Lim","given":"Jung","non-dropping-particle":"","parse-names":false,"suffix":""},{"dropping-particle":"","family":"Norman","given":"Bryan A.","non-dropping-particle":"","parse-names":false,"suffix":""},{"dropping-particle":"","family":"Rajgopal","given":"Jayant","non-dropping-particle":"","parse-names":false,"suffix":""}],"container-title":"International Transactions in Operational Research","id":"ITEM-1","issue":"1","issued":{"date-parts":[["2022","1","1"]]},"page":"200-225","publisher":"John Wiley and Sons Inc","title":"Redesign of vaccine distribution networks","type":"article-journal","volume":"29"},"uris":["http://www.mendeley.com/documents/?uuid=b9a66d7a-f37c-39db-9bb8-36b2d712a2aa"]}],"mendeley":{"formattedCitation":"(Lim et al., 2022)","plainTextFormattedCitation":"(Lim et al., 2022)","previouslyFormattedCitation":"(Lim et al., 2022)"},"properties":{"noteIndex":0},"schema":"https://github.com/citation-style-language/schema/raw/master/csl-citation.json"}</w:instrText>
            </w:r>
            <w:r w:rsidRPr="006B71F7">
              <w:fldChar w:fldCharType="separate"/>
            </w:r>
            <w:r w:rsidR="008D2835" w:rsidRPr="008D2835">
              <w:rPr>
                <w:noProof/>
              </w:rPr>
              <w:t>(Lim et al., 2022)</w:t>
            </w:r>
            <w:r w:rsidRPr="006B71F7">
              <w:fldChar w:fldCharType="end"/>
            </w:r>
          </w:p>
        </w:tc>
        <w:tc>
          <w:tcPr>
            <w:tcW w:w="503" w:type="dxa"/>
          </w:tcPr>
          <w:p w14:paraId="0B11E2FE" w14:textId="77777777" w:rsidR="00AD4EB9" w:rsidRPr="004F6FA4" w:rsidRDefault="00AD4EB9" w:rsidP="004F6FA4">
            <w:pPr>
              <w:pStyle w:val="Table"/>
            </w:pPr>
            <w:r w:rsidRPr="004F6FA4">
              <w:t>Single</w:t>
            </w:r>
          </w:p>
        </w:tc>
        <w:tc>
          <w:tcPr>
            <w:tcW w:w="900" w:type="dxa"/>
          </w:tcPr>
          <w:p w14:paraId="483DD61B" w14:textId="77777777" w:rsidR="00AD4EB9" w:rsidRPr="004F6FA4" w:rsidRDefault="00AD4EB9" w:rsidP="004F6FA4">
            <w:pPr>
              <w:pStyle w:val="Table"/>
            </w:pPr>
            <w:r w:rsidRPr="004F6FA4">
              <w:t>Single</w:t>
            </w:r>
          </w:p>
        </w:tc>
        <w:tc>
          <w:tcPr>
            <w:tcW w:w="630" w:type="dxa"/>
          </w:tcPr>
          <w:p w14:paraId="074BAD9E" w14:textId="77777777" w:rsidR="00AD4EB9" w:rsidRPr="004F6FA4" w:rsidRDefault="00AD4EB9" w:rsidP="004F6FA4">
            <w:pPr>
              <w:pStyle w:val="Table"/>
            </w:pPr>
            <w:r w:rsidRPr="004F6FA4">
              <w:t>yes</w:t>
            </w:r>
          </w:p>
        </w:tc>
        <w:tc>
          <w:tcPr>
            <w:tcW w:w="720" w:type="dxa"/>
          </w:tcPr>
          <w:p w14:paraId="7D5037C6" w14:textId="77777777" w:rsidR="00AD4EB9" w:rsidRPr="004F6FA4" w:rsidRDefault="00AD4EB9" w:rsidP="004F6FA4">
            <w:pPr>
              <w:pStyle w:val="Table"/>
            </w:pPr>
            <w:r w:rsidRPr="004F6FA4">
              <w:t>--</w:t>
            </w:r>
          </w:p>
        </w:tc>
        <w:tc>
          <w:tcPr>
            <w:tcW w:w="782" w:type="dxa"/>
          </w:tcPr>
          <w:p w14:paraId="72F8C8F5" w14:textId="363410F0" w:rsidR="00AD4EB9" w:rsidRPr="004F6FA4" w:rsidRDefault="00AD4EB9" w:rsidP="004F6FA4">
            <w:pPr>
              <w:pStyle w:val="Table"/>
            </w:pPr>
            <w:r w:rsidRPr="004F6FA4">
              <w:t>-</w:t>
            </w:r>
          </w:p>
        </w:tc>
        <w:tc>
          <w:tcPr>
            <w:tcW w:w="1514" w:type="dxa"/>
          </w:tcPr>
          <w:p w14:paraId="4D42570A" w14:textId="5930AE03" w:rsidR="00AD4EB9" w:rsidRPr="004F6FA4" w:rsidRDefault="00AD4EB9" w:rsidP="004F6FA4">
            <w:pPr>
              <w:pStyle w:val="Table"/>
            </w:pPr>
            <w:r>
              <w:t>Minimizing t</w:t>
            </w:r>
            <w:r w:rsidRPr="004F6FA4">
              <w:t>ransportation, storage, and operating costs</w:t>
            </w:r>
          </w:p>
        </w:tc>
        <w:tc>
          <w:tcPr>
            <w:tcW w:w="986" w:type="dxa"/>
          </w:tcPr>
          <w:p w14:paraId="0511F42D" w14:textId="3393E3C5" w:rsidR="00AD4EB9" w:rsidRPr="004F6FA4" w:rsidRDefault="00AD4EB9" w:rsidP="004F6FA4">
            <w:pPr>
              <w:pStyle w:val="Table"/>
            </w:pPr>
            <w:r>
              <w:t>M</w:t>
            </w:r>
            <w:r w:rsidRPr="004F6FA4">
              <w:t>ixed-integer programming</w:t>
            </w:r>
          </w:p>
        </w:tc>
        <w:tc>
          <w:tcPr>
            <w:tcW w:w="588" w:type="dxa"/>
          </w:tcPr>
          <w:p w14:paraId="06763703" w14:textId="77777777" w:rsidR="00AD4EB9" w:rsidRPr="004F6FA4" w:rsidRDefault="00AD4EB9" w:rsidP="004F6FA4">
            <w:pPr>
              <w:pStyle w:val="Table"/>
            </w:pPr>
            <w:r w:rsidRPr="004F6FA4">
              <w:t>-</w:t>
            </w:r>
          </w:p>
        </w:tc>
        <w:tc>
          <w:tcPr>
            <w:tcW w:w="592" w:type="dxa"/>
          </w:tcPr>
          <w:p w14:paraId="00291967" w14:textId="77777777" w:rsidR="00AD4EB9" w:rsidRPr="004F6FA4" w:rsidRDefault="00AD4EB9" w:rsidP="004F6FA4">
            <w:pPr>
              <w:pStyle w:val="Table"/>
            </w:pPr>
            <w:r w:rsidRPr="004F6FA4">
              <w:t>Strategic</w:t>
            </w:r>
          </w:p>
        </w:tc>
        <w:tc>
          <w:tcPr>
            <w:tcW w:w="602" w:type="dxa"/>
          </w:tcPr>
          <w:p w14:paraId="43C03772" w14:textId="77777777" w:rsidR="00AD4EB9" w:rsidRPr="004F6FA4" w:rsidRDefault="00AD4EB9" w:rsidP="004F6FA4">
            <w:pPr>
              <w:pStyle w:val="Table"/>
            </w:pPr>
            <w:r w:rsidRPr="004F6FA4">
              <w:t>*</w:t>
            </w:r>
          </w:p>
        </w:tc>
        <w:tc>
          <w:tcPr>
            <w:tcW w:w="691" w:type="dxa"/>
          </w:tcPr>
          <w:p w14:paraId="401BDEA4" w14:textId="77777777" w:rsidR="00AD4EB9" w:rsidRPr="004F6FA4" w:rsidRDefault="00AD4EB9" w:rsidP="004F6FA4">
            <w:pPr>
              <w:pStyle w:val="Table"/>
            </w:pPr>
            <w:r w:rsidRPr="004F6FA4">
              <w:t>-</w:t>
            </w:r>
          </w:p>
        </w:tc>
      </w:tr>
      <w:tr w:rsidR="00AD4EB9" w:rsidRPr="00106C79" w14:paraId="04962BDB" w14:textId="77777777" w:rsidTr="00AD4EB9">
        <w:trPr>
          <w:jc w:val="center"/>
        </w:trPr>
        <w:tc>
          <w:tcPr>
            <w:tcW w:w="842" w:type="dxa"/>
          </w:tcPr>
          <w:p w14:paraId="10B64107" w14:textId="4A16211E" w:rsidR="00AD4EB9" w:rsidRPr="006B71F7" w:rsidRDefault="00AD4EB9" w:rsidP="004F6FA4">
            <w:pPr>
              <w:pStyle w:val="Table"/>
            </w:pPr>
            <w:r w:rsidRPr="006B71F7">
              <w:fldChar w:fldCharType="begin" w:fldLock="1"/>
            </w:r>
            <w:r w:rsidR="00317095">
              <w:instrText>ADDIN CSL_CITATION {"citationItems":[{"id":"ITEM-1","itemData":{"ISSN":"0377-2217","author":[{"dropping-particle":"","family":"Yarmand","given":"Hamed","non-dropping-particle":"","parse-names":false,"suffix":""},{"dropping-particle":"","family":"Ivy","given":"Julie S","non-dropping-particle":"","parse-names":false,"suffix":""},{"dropping-particle":"","family":"Denton","given":"Brian","non-dropping-particle":"","parse-names":false,"suffix":""},{"dropping-particle":"","family":"Lloyd","given":"Alun L","non-dropping-particle":"","parse-names":false,"suffix":""}],"container-title":"European Journal of Operational Research","id":"ITEM-1","issue":"1","issued":{"date-parts":[["2014"]]},"page":"208-219","publisher":"Elsevier","title":"Optimal two-phase vaccine allocation to geographically different regions under uncertainty","type":"article-journal","volume":"233"},"uris":["http://www.mendeley.com/documents/?uuid=e48007b3-2360-46a9-8845-bef879196b4c"]}],"mendeley":{"formattedCitation":"(Yarmand et al., 2014)","plainTextFormattedCitation":"(Yarmand et al., 2014)","previouslyFormattedCitation":"(Yarmand et al., 2014)"},"properties":{"noteIndex":0},"schema":"https://github.com/citation-style-language/schema/raw/master/csl-citation.json"}</w:instrText>
            </w:r>
            <w:r w:rsidRPr="006B71F7">
              <w:fldChar w:fldCharType="separate"/>
            </w:r>
            <w:r w:rsidR="008D2835" w:rsidRPr="008D2835">
              <w:rPr>
                <w:noProof/>
              </w:rPr>
              <w:t>(Yarmand et al., 2014)</w:t>
            </w:r>
            <w:r w:rsidRPr="006B71F7">
              <w:fldChar w:fldCharType="end"/>
            </w:r>
            <w:r w:rsidRPr="006B71F7">
              <w:t xml:space="preserve"> </w:t>
            </w:r>
          </w:p>
        </w:tc>
        <w:tc>
          <w:tcPr>
            <w:tcW w:w="503" w:type="dxa"/>
          </w:tcPr>
          <w:p w14:paraId="3AE97273" w14:textId="77777777" w:rsidR="00AD4EB9" w:rsidRPr="004F6FA4" w:rsidRDefault="00AD4EB9" w:rsidP="004F6FA4">
            <w:pPr>
              <w:pStyle w:val="Table"/>
            </w:pPr>
            <w:r w:rsidRPr="004F6FA4">
              <w:t>Single</w:t>
            </w:r>
          </w:p>
        </w:tc>
        <w:tc>
          <w:tcPr>
            <w:tcW w:w="900" w:type="dxa"/>
          </w:tcPr>
          <w:p w14:paraId="28D87581" w14:textId="77777777" w:rsidR="00AD4EB9" w:rsidRPr="004F6FA4" w:rsidRDefault="00AD4EB9" w:rsidP="004F6FA4">
            <w:pPr>
              <w:pStyle w:val="Table"/>
            </w:pPr>
            <w:r w:rsidRPr="004F6FA4">
              <w:t>Single</w:t>
            </w:r>
          </w:p>
        </w:tc>
        <w:tc>
          <w:tcPr>
            <w:tcW w:w="630" w:type="dxa"/>
          </w:tcPr>
          <w:p w14:paraId="13209388" w14:textId="7CD05ED9" w:rsidR="00AD4EB9" w:rsidRPr="004F6FA4" w:rsidRDefault="00F626D0" w:rsidP="004F6FA4">
            <w:pPr>
              <w:pStyle w:val="Table"/>
            </w:pPr>
            <w:r>
              <w:t>-</w:t>
            </w:r>
          </w:p>
        </w:tc>
        <w:tc>
          <w:tcPr>
            <w:tcW w:w="720" w:type="dxa"/>
          </w:tcPr>
          <w:p w14:paraId="63C88EB0" w14:textId="77777777" w:rsidR="00AD4EB9" w:rsidRPr="004F6FA4" w:rsidRDefault="00AD4EB9" w:rsidP="004F6FA4">
            <w:pPr>
              <w:pStyle w:val="Table"/>
            </w:pPr>
            <w:r w:rsidRPr="004F6FA4">
              <w:t>-</w:t>
            </w:r>
          </w:p>
        </w:tc>
        <w:tc>
          <w:tcPr>
            <w:tcW w:w="782" w:type="dxa"/>
          </w:tcPr>
          <w:p w14:paraId="285B7DE1" w14:textId="0A6096BF" w:rsidR="00AD4EB9" w:rsidRPr="004F6FA4" w:rsidRDefault="00F626D0" w:rsidP="004F6FA4">
            <w:pPr>
              <w:pStyle w:val="Table"/>
            </w:pPr>
            <w:r>
              <w:t>Lower bound on vaccination coverage</w:t>
            </w:r>
          </w:p>
        </w:tc>
        <w:tc>
          <w:tcPr>
            <w:tcW w:w="1514" w:type="dxa"/>
          </w:tcPr>
          <w:p w14:paraId="58F8D9E8" w14:textId="77777777" w:rsidR="00AD4EB9" w:rsidRPr="004F6FA4" w:rsidRDefault="00AD4EB9" w:rsidP="004F6FA4">
            <w:pPr>
              <w:pStyle w:val="Table"/>
            </w:pPr>
            <w:r w:rsidRPr="004F6FA4">
              <w:t>Vaccination cost</w:t>
            </w:r>
          </w:p>
        </w:tc>
        <w:tc>
          <w:tcPr>
            <w:tcW w:w="986" w:type="dxa"/>
          </w:tcPr>
          <w:p w14:paraId="5DCC89D2" w14:textId="37F46B67" w:rsidR="00AD4EB9" w:rsidRPr="004F6FA4" w:rsidRDefault="00AD4EB9" w:rsidP="004F6FA4">
            <w:pPr>
              <w:pStyle w:val="Table"/>
            </w:pPr>
            <w:r>
              <w:t>T</w:t>
            </w:r>
            <w:r w:rsidRPr="004F6FA4">
              <w:t xml:space="preserve">wo-stage stochastic programming </w:t>
            </w:r>
          </w:p>
        </w:tc>
        <w:tc>
          <w:tcPr>
            <w:tcW w:w="588" w:type="dxa"/>
          </w:tcPr>
          <w:p w14:paraId="22FBA0A5" w14:textId="77777777" w:rsidR="00AD4EB9" w:rsidRPr="004F6FA4" w:rsidRDefault="00AD4EB9" w:rsidP="004F6FA4">
            <w:pPr>
              <w:pStyle w:val="Table"/>
            </w:pPr>
            <w:r w:rsidRPr="004F6FA4">
              <w:t>1</w:t>
            </w:r>
          </w:p>
        </w:tc>
        <w:tc>
          <w:tcPr>
            <w:tcW w:w="592" w:type="dxa"/>
          </w:tcPr>
          <w:p w14:paraId="2A4EACE4" w14:textId="77777777" w:rsidR="00AD4EB9" w:rsidRPr="004F6FA4" w:rsidRDefault="00AD4EB9" w:rsidP="004F6FA4">
            <w:pPr>
              <w:pStyle w:val="Table"/>
            </w:pPr>
            <w:r w:rsidRPr="004F6FA4">
              <w:t>Tactical</w:t>
            </w:r>
          </w:p>
        </w:tc>
        <w:tc>
          <w:tcPr>
            <w:tcW w:w="602" w:type="dxa"/>
          </w:tcPr>
          <w:p w14:paraId="274B5D3A" w14:textId="77777777" w:rsidR="00AD4EB9" w:rsidRPr="004F6FA4" w:rsidRDefault="00AD4EB9" w:rsidP="004F6FA4">
            <w:pPr>
              <w:pStyle w:val="Table"/>
            </w:pPr>
            <w:r w:rsidRPr="004F6FA4">
              <w:t>-</w:t>
            </w:r>
          </w:p>
        </w:tc>
        <w:tc>
          <w:tcPr>
            <w:tcW w:w="691" w:type="dxa"/>
          </w:tcPr>
          <w:p w14:paraId="11444EF8" w14:textId="77777777" w:rsidR="00AD4EB9" w:rsidRPr="004F6FA4" w:rsidRDefault="00AD4EB9" w:rsidP="004F6FA4">
            <w:pPr>
              <w:pStyle w:val="Table"/>
            </w:pPr>
            <w:r w:rsidRPr="004F6FA4">
              <w:t>*</w:t>
            </w:r>
          </w:p>
        </w:tc>
      </w:tr>
      <w:tr w:rsidR="00AD4EB9" w:rsidRPr="00106C79" w14:paraId="704B9347" w14:textId="77777777" w:rsidTr="00AD4EB9">
        <w:trPr>
          <w:jc w:val="center"/>
        </w:trPr>
        <w:tc>
          <w:tcPr>
            <w:tcW w:w="842" w:type="dxa"/>
          </w:tcPr>
          <w:p w14:paraId="101D2709" w14:textId="3B9E4A24" w:rsidR="00AD4EB9" w:rsidRPr="006B71F7" w:rsidRDefault="00AD4EB9" w:rsidP="004F6FA4">
            <w:pPr>
              <w:pStyle w:val="Table"/>
            </w:pPr>
            <w:r w:rsidRPr="006B71F7">
              <w:fldChar w:fldCharType="begin" w:fldLock="1"/>
            </w:r>
            <w:r w:rsidR="00317095">
              <w:instrText>ADDIN CSL_CITATION {"citationItems":[{"id":"ITEM-1","itemData":{"author":[{"dropping-particle":"","family":"Bertsimas","given":"Dimitris","non-dropping-particle":"","parse-names":false,"suffix":""},{"dropping-particle":"","family":"Ivanhoe","given":"Joshua","non-dropping-particle":"","parse-names":false,"suffix":""},{"dropping-particle":"","family":"Jacquillat","given":"Alexandre","non-dropping-particle":"","parse-names":false,"suffix":""},{"dropping-particle":"","family":"Li","given":"Michael","non-dropping-particle":"","parse-names":false,"suffix":""},{"dropping-particle":"","family":"Previero","given":"Alessandro","non-dropping-particle":"","parse-names":false,"suffix":""},{"dropping-particle":"","family":"Lami","given":"Omar Skali","non-dropping-particle":"","parse-names":false,"suffix":""},{"dropping-particle":"","family":"Bouardi","given":"Hamza Tazi","non-dropping-particle":"","parse-names":false,"suffix":""}],"container-title":"MedRxiv","id":"ITEM-1","issued":{"date-parts":[["2020"]]},"page":"2011-2020","publisher":"Cold Spring Harbor Laboratory Press","title":"Optimizing vaccine allocation to combat the COVID-19 pandemic","type":"article-journal"},"uris":["http://www.mendeley.com/documents/?uuid=c41b97b6-6921-4233-84fc-57df24a6981d"]}],"mendeley":{"formattedCitation":"(Bertsimas et al., 2020)","plainTextFormattedCitation":"(Bertsimas et al., 2020)","previouslyFormattedCitation":"(Bertsimas et al., 2020)"},"properties":{"noteIndex":0},"schema":"https://github.com/citation-style-language/schema/raw/master/csl-citation.json"}</w:instrText>
            </w:r>
            <w:r w:rsidRPr="006B71F7">
              <w:fldChar w:fldCharType="separate"/>
            </w:r>
            <w:r w:rsidR="008D2835" w:rsidRPr="008D2835">
              <w:rPr>
                <w:noProof/>
              </w:rPr>
              <w:t>(Bertsimas et al., 2020)</w:t>
            </w:r>
            <w:r w:rsidRPr="006B71F7">
              <w:fldChar w:fldCharType="end"/>
            </w:r>
          </w:p>
        </w:tc>
        <w:tc>
          <w:tcPr>
            <w:tcW w:w="503" w:type="dxa"/>
          </w:tcPr>
          <w:p w14:paraId="496F39C5" w14:textId="77777777" w:rsidR="00AD4EB9" w:rsidRPr="004F6FA4" w:rsidRDefault="00AD4EB9" w:rsidP="004F6FA4">
            <w:pPr>
              <w:pStyle w:val="Table"/>
            </w:pPr>
            <w:r w:rsidRPr="004F6FA4">
              <w:t>Multi</w:t>
            </w:r>
          </w:p>
        </w:tc>
        <w:tc>
          <w:tcPr>
            <w:tcW w:w="900" w:type="dxa"/>
          </w:tcPr>
          <w:p w14:paraId="4B080891" w14:textId="77777777" w:rsidR="00AD4EB9" w:rsidRPr="004F6FA4" w:rsidRDefault="00AD4EB9" w:rsidP="004F6FA4">
            <w:pPr>
              <w:pStyle w:val="Table"/>
            </w:pPr>
            <w:r w:rsidRPr="004F6FA4">
              <w:t>Single</w:t>
            </w:r>
          </w:p>
        </w:tc>
        <w:tc>
          <w:tcPr>
            <w:tcW w:w="630" w:type="dxa"/>
          </w:tcPr>
          <w:p w14:paraId="0E3D7FE4" w14:textId="77777777" w:rsidR="00AD4EB9" w:rsidRPr="004F6FA4" w:rsidRDefault="00AD4EB9" w:rsidP="004F6FA4">
            <w:pPr>
              <w:pStyle w:val="Table"/>
            </w:pPr>
            <w:r w:rsidRPr="004F6FA4">
              <w:t>yes</w:t>
            </w:r>
          </w:p>
        </w:tc>
        <w:tc>
          <w:tcPr>
            <w:tcW w:w="720" w:type="dxa"/>
          </w:tcPr>
          <w:p w14:paraId="685FFFCE" w14:textId="77777777" w:rsidR="00AD4EB9" w:rsidRPr="004F6FA4" w:rsidRDefault="00AD4EB9" w:rsidP="004F6FA4">
            <w:pPr>
              <w:pStyle w:val="Table"/>
            </w:pPr>
            <w:r w:rsidRPr="004F6FA4">
              <w:t>-</w:t>
            </w:r>
          </w:p>
        </w:tc>
        <w:tc>
          <w:tcPr>
            <w:tcW w:w="782" w:type="dxa"/>
          </w:tcPr>
          <w:p w14:paraId="0BDDE34E" w14:textId="3393E2AE" w:rsidR="00AD4EB9" w:rsidRPr="004F6FA4" w:rsidRDefault="00AD4EB9" w:rsidP="004F6FA4">
            <w:pPr>
              <w:pStyle w:val="Table"/>
            </w:pPr>
            <w:r>
              <w:t>??</w:t>
            </w:r>
          </w:p>
        </w:tc>
        <w:tc>
          <w:tcPr>
            <w:tcW w:w="1514" w:type="dxa"/>
          </w:tcPr>
          <w:p w14:paraId="5A65EE11" w14:textId="70D7ED02" w:rsidR="00AD4EB9" w:rsidRPr="004F6FA4" w:rsidRDefault="00AD4EB9" w:rsidP="004F6FA4">
            <w:pPr>
              <w:pStyle w:val="Table"/>
            </w:pPr>
            <w:r>
              <w:t>M</w:t>
            </w:r>
            <w:r w:rsidRPr="004F6FA4">
              <w:t>inimizes the number of deaths</w:t>
            </w:r>
          </w:p>
        </w:tc>
        <w:tc>
          <w:tcPr>
            <w:tcW w:w="986" w:type="dxa"/>
          </w:tcPr>
          <w:p w14:paraId="136AEE00" w14:textId="77777777" w:rsidR="00AD4EB9" w:rsidRPr="004F6FA4" w:rsidRDefault="00AD4EB9" w:rsidP="004F6FA4">
            <w:pPr>
              <w:pStyle w:val="Table"/>
            </w:pPr>
            <w:r w:rsidRPr="004F6FA4">
              <w:t>DELPHI epidemiological model</w:t>
            </w:r>
          </w:p>
        </w:tc>
        <w:tc>
          <w:tcPr>
            <w:tcW w:w="588" w:type="dxa"/>
          </w:tcPr>
          <w:p w14:paraId="51FDD857" w14:textId="77777777" w:rsidR="00AD4EB9" w:rsidRPr="004F6FA4" w:rsidRDefault="00AD4EB9" w:rsidP="004F6FA4">
            <w:pPr>
              <w:pStyle w:val="Table"/>
            </w:pPr>
            <w:r w:rsidRPr="004F6FA4">
              <w:t>1</w:t>
            </w:r>
          </w:p>
        </w:tc>
        <w:tc>
          <w:tcPr>
            <w:tcW w:w="592" w:type="dxa"/>
          </w:tcPr>
          <w:p w14:paraId="12617287" w14:textId="1A958892" w:rsidR="00AD4EB9" w:rsidRPr="004F6FA4" w:rsidRDefault="00AD4EB9" w:rsidP="004F6FA4">
            <w:pPr>
              <w:pStyle w:val="Table"/>
            </w:pPr>
            <w:r w:rsidRPr="004F6FA4">
              <w:t>Tactical</w:t>
            </w:r>
          </w:p>
        </w:tc>
        <w:tc>
          <w:tcPr>
            <w:tcW w:w="602" w:type="dxa"/>
          </w:tcPr>
          <w:p w14:paraId="3F734E41" w14:textId="77777777" w:rsidR="00AD4EB9" w:rsidRPr="004F6FA4" w:rsidRDefault="00AD4EB9" w:rsidP="004F6FA4">
            <w:pPr>
              <w:pStyle w:val="Table"/>
            </w:pPr>
            <w:r w:rsidRPr="004F6FA4">
              <w:t>-</w:t>
            </w:r>
          </w:p>
        </w:tc>
        <w:tc>
          <w:tcPr>
            <w:tcW w:w="691" w:type="dxa"/>
          </w:tcPr>
          <w:p w14:paraId="458DE9B5" w14:textId="77777777" w:rsidR="00AD4EB9" w:rsidRPr="004F6FA4" w:rsidRDefault="00AD4EB9" w:rsidP="004F6FA4">
            <w:pPr>
              <w:pStyle w:val="Table"/>
            </w:pPr>
            <w:r w:rsidRPr="004F6FA4">
              <w:t>*</w:t>
            </w:r>
          </w:p>
        </w:tc>
      </w:tr>
      <w:tr w:rsidR="00AD4EB9" w:rsidRPr="00106C79" w14:paraId="34353203" w14:textId="77777777" w:rsidTr="00AD4EB9">
        <w:trPr>
          <w:jc w:val="center"/>
        </w:trPr>
        <w:tc>
          <w:tcPr>
            <w:tcW w:w="842" w:type="dxa"/>
          </w:tcPr>
          <w:p w14:paraId="1E5DF26C" w14:textId="39F4B6E1" w:rsidR="00AD4EB9" w:rsidRPr="006B71F7" w:rsidRDefault="00AD4EB9" w:rsidP="004F6FA4">
            <w:pPr>
              <w:pStyle w:val="Table"/>
            </w:pPr>
            <w:r w:rsidRPr="006B71F7">
              <w:fldChar w:fldCharType="begin" w:fldLock="1"/>
            </w:r>
            <w:r w:rsidR="00317095">
              <w:instrText>ADDIN CSL_CITATION {"citationItems":[{"id":"ITEM-1","itemData":{"ISSN":"0264-410X","author":[{"dropping-particle":"","family":"Rastegar","given":"Mehdi","non-dropping-particle":"","parse-names":false,"suffix":""},{"dropping-particle":"","family":"Tavana","given":"Madjid","non-dropping-particle":"","parse-names":false,"suffix":""},{"dropping-particle":"","family":"Meraj","given":"Afshin","non-dropping-particle":"","parse-names":false,"suffix":""},{"dropping-particle":"","family":"Mina","given":"Hassan","non-dropping-particle":"","parse-names":false,"suffix":""}],"container-title":"Vaccine","id":"ITEM-1","issue":"3","issued":{"date-parts":[["2021"]]},"page":"495-504","publisher":"Elsevier","title":"An inventory-location optimization model for equitable influenza vaccine distribution in developing countries during the COVID-19 pandemic","type":"article-journal","volume":"39"},"uris":["http://www.mendeley.com/documents/?uuid=550a3549-32ef-4569-89b3-f71a7eab18bc"]}],"mendeley":{"formattedCitation":"(Rastegar et al., 2021)","plainTextFormattedCitation":"(Rastegar et al., 2021)","previouslyFormattedCitation":"(Rastegar et al., 2021)"},"properties":{"noteIndex":0},"schema":"https://github.com/citation-style-language/schema/raw/master/csl-citation.json"}</w:instrText>
            </w:r>
            <w:r w:rsidRPr="006B71F7">
              <w:fldChar w:fldCharType="separate"/>
            </w:r>
            <w:r w:rsidR="008D2835" w:rsidRPr="008D2835">
              <w:rPr>
                <w:noProof/>
              </w:rPr>
              <w:t>(Rastegar et al., 2021)</w:t>
            </w:r>
            <w:r w:rsidRPr="006B71F7">
              <w:fldChar w:fldCharType="end"/>
            </w:r>
          </w:p>
          <w:p w14:paraId="1529D4CE" w14:textId="77777777" w:rsidR="00AD4EB9" w:rsidRPr="006B71F7" w:rsidRDefault="00AD4EB9" w:rsidP="004F6FA4">
            <w:pPr>
              <w:pStyle w:val="Table"/>
            </w:pPr>
          </w:p>
        </w:tc>
        <w:tc>
          <w:tcPr>
            <w:tcW w:w="503" w:type="dxa"/>
          </w:tcPr>
          <w:p w14:paraId="00D5A5D3" w14:textId="77777777" w:rsidR="00AD4EB9" w:rsidRPr="004F6FA4" w:rsidRDefault="00AD4EB9" w:rsidP="004F6FA4">
            <w:pPr>
              <w:pStyle w:val="Table"/>
            </w:pPr>
            <w:r w:rsidRPr="004F6FA4">
              <w:t>multi</w:t>
            </w:r>
          </w:p>
        </w:tc>
        <w:tc>
          <w:tcPr>
            <w:tcW w:w="900" w:type="dxa"/>
          </w:tcPr>
          <w:p w14:paraId="1F4751F7" w14:textId="77777777" w:rsidR="00AD4EB9" w:rsidRPr="004F6FA4" w:rsidRDefault="00AD4EB9" w:rsidP="004F6FA4">
            <w:pPr>
              <w:pStyle w:val="Table"/>
            </w:pPr>
            <w:r w:rsidRPr="004F6FA4">
              <w:t>single</w:t>
            </w:r>
          </w:p>
        </w:tc>
        <w:tc>
          <w:tcPr>
            <w:tcW w:w="630" w:type="dxa"/>
          </w:tcPr>
          <w:p w14:paraId="0E20410F" w14:textId="77777777" w:rsidR="00AD4EB9" w:rsidRPr="004F6FA4" w:rsidRDefault="00AD4EB9" w:rsidP="004F6FA4">
            <w:pPr>
              <w:pStyle w:val="Table"/>
            </w:pPr>
            <w:r w:rsidRPr="004F6FA4">
              <w:t>yes</w:t>
            </w:r>
          </w:p>
        </w:tc>
        <w:tc>
          <w:tcPr>
            <w:tcW w:w="720" w:type="dxa"/>
          </w:tcPr>
          <w:p w14:paraId="066C90A4" w14:textId="77777777" w:rsidR="00AD4EB9" w:rsidRPr="004F6FA4" w:rsidRDefault="00AD4EB9" w:rsidP="004F6FA4">
            <w:pPr>
              <w:pStyle w:val="Table"/>
            </w:pPr>
            <w:r w:rsidRPr="004F6FA4">
              <w:t>-</w:t>
            </w:r>
          </w:p>
        </w:tc>
        <w:tc>
          <w:tcPr>
            <w:tcW w:w="782" w:type="dxa"/>
          </w:tcPr>
          <w:p w14:paraId="21C374EB" w14:textId="165B74E6" w:rsidR="00AD4EB9" w:rsidRPr="004F6FA4" w:rsidRDefault="004B3B9E" w:rsidP="004F6FA4">
            <w:pPr>
              <w:pStyle w:val="Table"/>
            </w:pPr>
            <w:r>
              <w:t>Maximizing the</w:t>
            </w:r>
            <w:r w:rsidRPr="004F6FA4">
              <w:t xml:space="preserve"> minimum fill rate</w:t>
            </w:r>
          </w:p>
        </w:tc>
        <w:tc>
          <w:tcPr>
            <w:tcW w:w="1514" w:type="dxa"/>
          </w:tcPr>
          <w:p w14:paraId="62692D27" w14:textId="77777777" w:rsidR="00AD4EB9" w:rsidRPr="004F6FA4" w:rsidRDefault="00AD4EB9" w:rsidP="004F6FA4">
            <w:pPr>
              <w:pStyle w:val="Table"/>
            </w:pPr>
            <w:r w:rsidRPr="004F6FA4">
              <w:t>Minimizing transportation costs</w:t>
            </w:r>
          </w:p>
        </w:tc>
        <w:tc>
          <w:tcPr>
            <w:tcW w:w="986" w:type="dxa"/>
          </w:tcPr>
          <w:p w14:paraId="77F62830" w14:textId="06803419" w:rsidR="00AD4EB9" w:rsidRPr="004F6FA4" w:rsidRDefault="00AD4EB9" w:rsidP="004F6FA4">
            <w:pPr>
              <w:pStyle w:val="Table"/>
            </w:pPr>
            <w:r>
              <w:t>M</w:t>
            </w:r>
            <w:r w:rsidRPr="004F6FA4">
              <w:t>ixed-integer linear programming</w:t>
            </w:r>
          </w:p>
        </w:tc>
        <w:tc>
          <w:tcPr>
            <w:tcW w:w="588" w:type="dxa"/>
          </w:tcPr>
          <w:p w14:paraId="0CFFFE4F" w14:textId="77777777" w:rsidR="00AD4EB9" w:rsidRPr="004F6FA4" w:rsidRDefault="00AD4EB9" w:rsidP="004F6FA4">
            <w:pPr>
              <w:pStyle w:val="Table"/>
            </w:pPr>
            <w:r w:rsidRPr="004F6FA4">
              <w:t>-</w:t>
            </w:r>
          </w:p>
        </w:tc>
        <w:tc>
          <w:tcPr>
            <w:tcW w:w="592" w:type="dxa"/>
          </w:tcPr>
          <w:p w14:paraId="53CBC370" w14:textId="77777777" w:rsidR="00AD4EB9" w:rsidRPr="004F6FA4" w:rsidRDefault="00AD4EB9" w:rsidP="004F6FA4">
            <w:pPr>
              <w:pStyle w:val="Table"/>
            </w:pPr>
            <w:r w:rsidRPr="004F6FA4">
              <w:t xml:space="preserve">Strategic, Tactical </w:t>
            </w:r>
          </w:p>
        </w:tc>
        <w:tc>
          <w:tcPr>
            <w:tcW w:w="602" w:type="dxa"/>
          </w:tcPr>
          <w:p w14:paraId="4B157601" w14:textId="77777777" w:rsidR="00AD4EB9" w:rsidRPr="004F6FA4" w:rsidRDefault="00AD4EB9" w:rsidP="004F6FA4">
            <w:pPr>
              <w:pStyle w:val="Table"/>
            </w:pPr>
            <w:r w:rsidRPr="004F6FA4">
              <w:t>*</w:t>
            </w:r>
          </w:p>
        </w:tc>
        <w:tc>
          <w:tcPr>
            <w:tcW w:w="691" w:type="dxa"/>
          </w:tcPr>
          <w:p w14:paraId="115CE7CC" w14:textId="77777777" w:rsidR="00AD4EB9" w:rsidRPr="004F6FA4" w:rsidRDefault="00AD4EB9" w:rsidP="004F6FA4">
            <w:pPr>
              <w:pStyle w:val="Table"/>
            </w:pPr>
            <w:r w:rsidRPr="004F6FA4">
              <w:t>*</w:t>
            </w:r>
          </w:p>
        </w:tc>
      </w:tr>
      <w:tr w:rsidR="00AD4EB9" w:rsidRPr="00106C79" w14:paraId="4D4486A7" w14:textId="77777777" w:rsidTr="00AD4EB9">
        <w:trPr>
          <w:jc w:val="center"/>
        </w:trPr>
        <w:tc>
          <w:tcPr>
            <w:tcW w:w="842" w:type="dxa"/>
          </w:tcPr>
          <w:p w14:paraId="77CC59B4" w14:textId="30055340" w:rsidR="00AD4EB9" w:rsidRPr="006B71F7" w:rsidRDefault="00AD4EB9" w:rsidP="004F6FA4">
            <w:pPr>
              <w:pStyle w:val="Table"/>
            </w:pPr>
            <w:r w:rsidRPr="006B71F7">
              <w:fldChar w:fldCharType="begin" w:fldLock="1"/>
            </w:r>
            <w:r w:rsidR="00317095">
              <w:instrText>ADDIN CSL_CITATION {"citationItems":[{"id":"ITEM-1","itemData":{"DOI":"10.1007/S10479-021-04130-Z/TABLES/26","ISSN":"15729338","abstract":"Developing countries scramble to contain and mitigate the spread of coronavirus disease 2019 (COVID-19), and world leaders demand equitable distribution of vaccines to trigger economic recovery. Although numerous strategies, including education, quarantine, and immunization, have been used to control COVID-19, the best method to curb this disease is vaccination. Due to the high demand for COVID 19 vaccine, developing countries must carefully identify and prioritize vulnerable populations and rationalize the vaccine allocation process. This study presents a mixed-integer linear programming model for equitable COVID-19 vaccine distribution in developing countries. Vaccines are grouped into cold, very cold, and ultra-cold categories where specific refrigeration is required for their storage and distribution. The possibility of storage for future periods, facing a shortage, budgetary considerations, manufacturer selection, order allocation, time-dependent capacities, and grouping of the heterogeneous population are among the practical assumptions in the proposed approach. Real-world data is used to demonstrate the efficiency and effectiveness of the mathematical programming approach proposed in this study.","author":[{"dropping-particle":"","family":"Tavana","given":"Madjid","non-dropping-particle":"","parse-names":false,"suffix":""},{"dropping-particle":"","family":"Govindan","given":"Kannan","non-dropping-particle":"","parse-names":false,"suffix":""},{"dropping-particle":"","family":"Nasr","given":"Arash Khalili","non-dropping-particle":"","parse-names":false,"suffix":""},{"dropping-particle":"","family":"Heidary","given":"Mohammad Saeed","non-dropping-particle":"","parse-names":false,"suffix":""},{"dropping-particle":"","family":"Mina","given":"Hassan","non-dropping-particle":"","parse-names":false,"suffix":""}],"container-title":"Annals of Operations Research","id":"ITEM-1","issued":{"date-parts":[["2021","6","3"]]},"page":"1-34","publisher":"Springer","title":"A mathematical programming approach for equitable COVID-19 vaccine distribution in developing countries","type":"article-journal"},"uris":["http://www.mendeley.com/documents/?uuid=6e1340f8-5482-3659-9b17-7a393120b7b5"]}],"mendeley":{"formattedCitation":"(Tavana et al., 2021)","plainTextFormattedCitation":"(Tavana et al., 2021)","previouslyFormattedCitation":"(Tavana et al., 2021)"},"properties":{"noteIndex":0},"schema":"https://github.com/citation-style-language/schema/raw/master/csl-citation.json"}</w:instrText>
            </w:r>
            <w:r w:rsidRPr="006B71F7">
              <w:fldChar w:fldCharType="separate"/>
            </w:r>
            <w:r w:rsidR="008D2835" w:rsidRPr="008D2835">
              <w:rPr>
                <w:noProof/>
              </w:rPr>
              <w:t>(Tavana et al., 2021)</w:t>
            </w:r>
            <w:r w:rsidRPr="006B71F7">
              <w:fldChar w:fldCharType="end"/>
            </w:r>
            <w:r w:rsidRPr="006B71F7">
              <w:t xml:space="preserve"> </w:t>
            </w:r>
          </w:p>
        </w:tc>
        <w:tc>
          <w:tcPr>
            <w:tcW w:w="503" w:type="dxa"/>
          </w:tcPr>
          <w:p w14:paraId="759A4C91" w14:textId="77777777" w:rsidR="00AD4EB9" w:rsidRPr="004F6FA4" w:rsidRDefault="00AD4EB9" w:rsidP="004F6FA4">
            <w:pPr>
              <w:pStyle w:val="Table"/>
            </w:pPr>
            <w:r w:rsidRPr="004F6FA4">
              <w:t>Multi</w:t>
            </w:r>
          </w:p>
        </w:tc>
        <w:tc>
          <w:tcPr>
            <w:tcW w:w="900" w:type="dxa"/>
          </w:tcPr>
          <w:p w14:paraId="3B785262" w14:textId="77777777" w:rsidR="00AD4EB9" w:rsidRPr="004F6FA4" w:rsidRDefault="00AD4EB9" w:rsidP="004F6FA4">
            <w:pPr>
              <w:pStyle w:val="Table"/>
            </w:pPr>
            <w:r w:rsidRPr="004F6FA4">
              <w:t>Multi</w:t>
            </w:r>
          </w:p>
        </w:tc>
        <w:tc>
          <w:tcPr>
            <w:tcW w:w="630" w:type="dxa"/>
          </w:tcPr>
          <w:p w14:paraId="11FD4F3F" w14:textId="1C70709B" w:rsidR="00AD4EB9" w:rsidRPr="004F6FA4" w:rsidRDefault="004B3B9E" w:rsidP="004F6FA4">
            <w:pPr>
              <w:pStyle w:val="Table"/>
            </w:pPr>
            <w:r>
              <w:t>yes</w:t>
            </w:r>
          </w:p>
        </w:tc>
        <w:tc>
          <w:tcPr>
            <w:tcW w:w="720" w:type="dxa"/>
          </w:tcPr>
          <w:p w14:paraId="3DD5EEF7" w14:textId="77777777" w:rsidR="00AD4EB9" w:rsidRPr="004F6FA4" w:rsidRDefault="00AD4EB9" w:rsidP="004F6FA4">
            <w:pPr>
              <w:pStyle w:val="Table"/>
            </w:pPr>
            <w:r w:rsidRPr="004F6FA4">
              <w:t>-</w:t>
            </w:r>
          </w:p>
        </w:tc>
        <w:tc>
          <w:tcPr>
            <w:tcW w:w="782" w:type="dxa"/>
          </w:tcPr>
          <w:p w14:paraId="72C19973" w14:textId="71FA4A5B" w:rsidR="00AD4EB9" w:rsidRPr="004F6FA4" w:rsidRDefault="004B3B9E" w:rsidP="004F6FA4">
            <w:pPr>
              <w:pStyle w:val="Table"/>
            </w:pPr>
            <w:r>
              <w:t>Maximizing the</w:t>
            </w:r>
            <w:r w:rsidR="00AD4EB9" w:rsidRPr="004F6FA4">
              <w:t xml:space="preserve"> minimum fill rate</w:t>
            </w:r>
          </w:p>
        </w:tc>
        <w:tc>
          <w:tcPr>
            <w:tcW w:w="1514" w:type="dxa"/>
          </w:tcPr>
          <w:p w14:paraId="0828C84B" w14:textId="77777777" w:rsidR="00AD4EB9" w:rsidRPr="004F6FA4" w:rsidRDefault="00AD4EB9" w:rsidP="004F6FA4">
            <w:pPr>
              <w:pStyle w:val="Table"/>
            </w:pPr>
            <w:r w:rsidRPr="004F6FA4">
              <w:t>Total cost not exceeding budget</w:t>
            </w:r>
          </w:p>
        </w:tc>
        <w:tc>
          <w:tcPr>
            <w:tcW w:w="986" w:type="dxa"/>
          </w:tcPr>
          <w:p w14:paraId="1F988DEF" w14:textId="27680992" w:rsidR="00AD4EB9" w:rsidRPr="004F6FA4" w:rsidRDefault="00AD4EB9" w:rsidP="004F6FA4">
            <w:pPr>
              <w:pStyle w:val="Table"/>
            </w:pPr>
            <w:r>
              <w:t>M</w:t>
            </w:r>
            <w:r w:rsidRPr="004F6FA4">
              <w:t>ixed-integer linear programming</w:t>
            </w:r>
          </w:p>
        </w:tc>
        <w:tc>
          <w:tcPr>
            <w:tcW w:w="588" w:type="dxa"/>
          </w:tcPr>
          <w:p w14:paraId="5D06A203" w14:textId="77777777" w:rsidR="00AD4EB9" w:rsidRPr="004F6FA4" w:rsidRDefault="00AD4EB9" w:rsidP="004F6FA4">
            <w:pPr>
              <w:pStyle w:val="Table"/>
            </w:pPr>
          </w:p>
        </w:tc>
        <w:tc>
          <w:tcPr>
            <w:tcW w:w="592" w:type="dxa"/>
          </w:tcPr>
          <w:p w14:paraId="62824799" w14:textId="77777777" w:rsidR="00AD4EB9" w:rsidRPr="004F6FA4" w:rsidRDefault="00AD4EB9" w:rsidP="004F6FA4">
            <w:pPr>
              <w:pStyle w:val="Table"/>
            </w:pPr>
            <w:r w:rsidRPr="004F6FA4">
              <w:t xml:space="preserve">Strategic, Tactical </w:t>
            </w:r>
          </w:p>
        </w:tc>
        <w:tc>
          <w:tcPr>
            <w:tcW w:w="602" w:type="dxa"/>
          </w:tcPr>
          <w:p w14:paraId="3B0191BF" w14:textId="77777777" w:rsidR="00AD4EB9" w:rsidRPr="004F6FA4" w:rsidRDefault="00AD4EB9" w:rsidP="004F6FA4">
            <w:pPr>
              <w:pStyle w:val="Table"/>
            </w:pPr>
            <w:r w:rsidRPr="004F6FA4">
              <w:t>*</w:t>
            </w:r>
          </w:p>
        </w:tc>
        <w:tc>
          <w:tcPr>
            <w:tcW w:w="691" w:type="dxa"/>
          </w:tcPr>
          <w:p w14:paraId="46412C12" w14:textId="77777777" w:rsidR="00AD4EB9" w:rsidRPr="004F6FA4" w:rsidRDefault="00AD4EB9" w:rsidP="004F6FA4">
            <w:pPr>
              <w:pStyle w:val="Table"/>
            </w:pPr>
            <w:r w:rsidRPr="004F6FA4">
              <w:t>*</w:t>
            </w:r>
          </w:p>
        </w:tc>
      </w:tr>
      <w:tr w:rsidR="00AD4EB9" w:rsidRPr="00106C79" w14:paraId="1FA9AEE2" w14:textId="77777777" w:rsidTr="00AD4EB9">
        <w:trPr>
          <w:jc w:val="center"/>
        </w:trPr>
        <w:tc>
          <w:tcPr>
            <w:tcW w:w="842" w:type="dxa"/>
          </w:tcPr>
          <w:p w14:paraId="58EEA5E2" w14:textId="508F034E" w:rsidR="00AD4EB9" w:rsidRPr="006B71F7" w:rsidRDefault="00AD4EB9" w:rsidP="004F6FA4">
            <w:pPr>
              <w:pStyle w:val="Table"/>
            </w:pPr>
            <w:r w:rsidRPr="006B71F7">
              <w:fldChar w:fldCharType="begin" w:fldLock="1"/>
            </w:r>
            <w:r w:rsidR="00317095">
              <w:instrText>ADDIN CSL_CITATION {"citationItems":[{"id":"ITEM-1","itemData":{"DOI":"10.1016/j.omega.2023.102872","author":[{"dropping-particle":"","family":"Wang","given":"Xin","non-dropping-particle":"","parse-names":false,"suffix":""},{"dropping-particle":"","family":"Jiang","given":"Ruiwei","non-dropping-particle":"","parse-names":false,"suffix":""},{"dropping-particle":"","family":"Qi","given":"Mingyao","non-dropping-particle":"","parse-names":false,"suffix":""}],"container-title":"Omega","id":"ITEM-1","issued":{"date-parts":[["2023"]]},"publisher":"Elsevier Ltd","title":"A robust optimization problem for drone-based equitable pandemic vaccine distribution with uncertain supply","type":"article-journal","volume":"119"},"uris":["http://www.mendeley.com/documents/?uuid=65c16b9c-82e1-435c-a6b7-16dcfed2f917"]}],"mendeley":{"formattedCitation":"(Wang et al., 2023)","plainTextFormattedCitation":"(Wang et al., 2023)","previouslyFormattedCitation":"(Wang et al., 2023)"},"properties":{"noteIndex":0},"schema":"https://github.com/citation-style-language/schema/raw/master/csl-citation.json"}</w:instrText>
            </w:r>
            <w:r w:rsidRPr="006B71F7">
              <w:fldChar w:fldCharType="separate"/>
            </w:r>
            <w:r w:rsidR="008D2835" w:rsidRPr="008D2835">
              <w:rPr>
                <w:noProof/>
              </w:rPr>
              <w:t>(Wang et al., 2023)</w:t>
            </w:r>
            <w:r w:rsidRPr="006B71F7">
              <w:fldChar w:fldCharType="end"/>
            </w:r>
          </w:p>
        </w:tc>
        <w:tc>
          <w:tcPr>
            <w:tcW w:w="503" w:type="dxa"/>
          </w:tcPr>
          <w:p w14:paraId="565EBA8C" w14:textId="77777777" w:rsidR="00AD4EB9" w:rsidRPr="004F6FA4" w:rsidRDefault="00AD4EB9" w:rsidP="004F6FA4">
            <w:pPr>
              <w:pStyle w:val="Table"/>
            </w:pPr>
            <w:r w:rsidRPr="004F6FA4">
              <w:t>Multi</w:t>
            </w:r>
          </w:p>
        </w:tc>
        <w:tc>
          <w:tcPr>
            <w:tcW w:w="900" w:type="dxa"/>
          </w:tcPr>
          <w:p w14:paraId="0B2778D6" w14:textId="77777777" w:rsidR="00AD4EB9" w:rsidRPr="004F6FA4" w:rsidRDefault="00AD4EB9" w:rsidP="004F6FA4">
            <w:pPr>
              <w:pStyle w:val="Table"/>
            </w:pPr>
            <w:r w:rsidRPr="004F6FA4">
              <w:t>Single</w:t>
            </w:r>
          </w:p>
        </w:tc>
        <w:tc>
          <w:tcPr>
            <w:tcW w:w="630" w:type="dxa"/>
          </w:tcPr>
          <w:p w14:paraId="04535368" w14:textId="77777777" w:rsidR="00AD4EB9" w:rsidRPr="004F6FA4" w:rsidRDefault="00AD4EB9" w:rsidP="004F6FA4">
            <w:pPr>
              <w:pStyle w:val="Table"/>
              <w:rPr>
                <w:rtl/>
              </w:rPr>
            </w:pPr>
            <w:r w:rsidRPr="004F6FA4">
              <w:t>No</w:t>
            </w:r>
          </w:p>
        </w:tc>
        <w:tc>
          <w:tcPr>
            <w:tcW w:w="720" w:type="dxa"/>
          </w:tcPr>
          <w:p w14:paraId="0BB36FF6" w14:textId="77777777" w:rsidR="00AD4EB9" w:rsidRPr="004F6FA4" w:rsidRDefault="00AD4EB9" w:rsidP="004F6FA4">
            <w:pPr>
              <w:pStyle w:val="Table"/>
            </w:pPr>
            <w:r w:rsidRPr="004F6FA4">
              <w:t>-</w:t>
            </w:r>
          </w:p>
        </w:tc>
        <w:tc>
          <w:tcPr>
            <w:tcW w:w="782" w:type="dxa"/>
          </w:tcPr>
          <w:p w14:paraId="51BCC321" w14:textId="7329237B" w:rsidR="00AD4EB9" w:rsidRPr="004F6FA4" w:rsidRDefault="00AD4EB9" w:rsidP="004F6FA4">
            <w:pPr>
              <w:pStyle w:val="Table"/>
            </w:pPr>
            <w:r>
              <w:t>R</w:t>
            </w:r>
            <w:r w:rsidRPr="004F6FA4">
              <w:t>elative gap between the highest and lowest fill rates.</w:t>
            </w:r>
          </w:p>
        </w:tc>
        <w:tc>
          <w:tcPr>
            <w:tcW w:w="1514" w:type="dxa"/>
          </w:tcPr>
          <w:p w14:paraId="5196BC27" w14:textId="77777777" w:rsidR="00AD4EB9" w:rsidRPr="004F6FA4" w:rsidRDefault="00AD4EB9" w:rsidP="004F6FA4">
            <w:pPr>
              <w:pStyle w:val="Table"/>
            </w:pPr>
            <w:r w:rsidRPr="004F6FA4">
              <w:t>Total cost</w:t>
            </w:r>
          </w:p>
        </w:tc>
        <w:tc>
          <w:tcPr>
            <w:tcW w:w="986" w:type="dxa"/>
          </w:tcPr>
          <w:p w14:paraId="1EBD04FA" w14:textId="77777777" w:rsidR="00AD4EB9" w:rsidRPr="004F6FA4" w:rsidRDefault="00AD4EB9" w:rsidP="004F6FA4">
            <w:pPr>
              <w:pStyle w:val="Table"/>
            </w:pPr>
            <w:r w:rsidRPr="004F6FA4">
              <w:t>Two-stage robust programming</w:t>
            </w:r>
          </w:p>
        </w:tc>
        <w:tc>
          <w:tcPr>
            <w:tcW w:w="588" w:type="dxa"/>
          </w:tcPr>
          <w:p w14:paraId="1C80B9A6" w14:textId="77777777" w:rsidR="00AD4EB9" w:rsidRPr="004F6FA4" w:rsidRDefault="00AD4EB9" w:rsidP="004F6FA4">
            <w:pPr>
              <w:pStyle w:val="Table"/>
            </w:pPr>
            <w:r w:rsidRPr="004F6FA4">
              <w:t>1</w:t>
            </w:r>
          </w:p>
        </w:tc>
        <w:tc>
          <w:tcPr>
            <w:tcW w:w="592" w:type="dxa"/>
          </w:tcPr>
          <w:p w14:paraId="115EE329" w14:textId="77777777" w:rsidR="00AD4EB9" w:rsidRPr="004F6FA4" w:rsidRDefault="00AD4EB9" w:rsidP="004F6FA4">
            <w:pPr>
              <w:pStyle w:val="Table"/>
            </w:pPr>
            <w:r w:rsidRPr="004F6FA4">
              <w:t>Strategic, Tactical</w:t>
            </w:r>
          </w:p>
        </w:tc>
        <w:tc>
          <w:tcPr>
            <w:tcW w:w="602" w:type="dxa"/>
          </w:tcPr>
          <w:p w14:paraId="003D44CF" w14:textId="77777777" w:rsidR="00AD4EB9" w:rsidRPr="004F6FA4" w:rsidRDefault="00AD4EB9" w:rsidP="004F6FA4">
            <w:pPr>
              <w:pStyle w:val="Table"/>
            </w:pPr>
            <w:r w:rsidRPr="004F6FA4">
              <w:t>*</w:t>
            </w:r>
          </w:p>
        </w:tc>
        <w:tc>
          <w:tcPr>
            <w:tcW w:w="691" w:type="dxa"/>
          </w:tcPr>
          <w:p w14:paraId="4985736B" w14:textId="77777777" w:rsidR="00AD4EB9" w:rsidRPr="004F6FA4" w:rsidRDefault="00AD4EB9" w:rsidP="004F6FA4">
            <w:pPr>
              <w:pStyle w:val="Table"/>
            </w:pPr>
            <w:r w:rsidRPr="004F6FA4">
              <w:t>*</w:t>
            </w:r>
          </w:p>
        </w:tc>
      </w:tr>
      <w:tr w:rsidR="00AD4EB9" w:rsidRPr="00106C79" w14:paraId="45FFF10F" w14:textId="77777777" w:rsidTr="00AD4EB9">
        <w:trPr>
          <w:jc w:val="center"/>
        </w:trPr>
        <w:tc>
          <w:tcPr>
            <w:tcW w:w="842" w:type="dxa"/>
          </w:tcPr>
          <w:p w14:paraId="4BA6E240" w14:textId="7F58E5C0" w:rsidR="00AD4EB9" w:rsidRPr="004F6FA4" w:rsidRDefault="00AD4EB9" w:rsidP="004F6FA4">
            <w:pPr>
              <w:pStyle w:val="Table"/>
            </w:pPr>
            <w:r w:rsidRPr="004F6FA4">
              <w:fldChar w:fldCharType="begin" w:fldLock="1"/>
            </w:r>
            <w:r w:rsidR="00317095">
              <w:instrText>ADDIN CSL_CITATION {"citationItems":[{"id":"ITEM-1","itemData":{"DOI":"10.1016/j.tre.2022.102689","ISSN":"13665545","abstract":"While the swift development and production of a COVID-19 vaccine has been a remarkable success, it is equally crucial to ensure that the vaccine is allocated and distributed in a timely and efficient manner. Prior research on pandemic supply chain has not fully incorporated the underlying factors and constraints in designing a vaccine allocation model. This study proposes an innovative vaccine allocation model to contain the spread of infectious diseases incorporating key contributing factors to the risk of uninoculated people including susceptibility rate and exposure risk. Analyses of the data collected from the state of Victoria in Australia show that a vaccine allocation model can deliver a superior performance in minimizing the risk of unvaccinated people when a multi-period approach is employed and augmenting operational mechanisms including transshipment between medical centers, capacity sharing, and mobile units being integrated into the vaccine allocation model.","author":[{"dropping-particle":"","family":"Fadaki","given":"Masih","non-dropping-particle":"","parse-names":false,"suffix":""},{"dropping-particle":"","family":"Abareshi","given":"Ahmad","non-dropping-particle":"","parse-names":false,"suffix":""},{"dropping-particle":"","family":"Far","given":"Shaghayegh Maleki","non-dropping-particle":"","parse-names":false,"suffix":""},{"dropping-particle":"","family":"Lee","given":"Paul Tae Woo","non-dropping-particle":"","parse-names":false,"suffix":""}],"container-title":"Transportation Research Part E: Logistics and Transportation Review","id":"ITEM-1","issue":"March","issued":{"date-parts":[["2022"]]},"page":"102689","publisher":"Elsevier Ltd","title":"Multi-period vaccine allocation model in a pandemic: A case study of COVID-19 in Australia","type":"article-journal","volume":"161"},"uris":["http://www.mendeley.com/documents/?uuid=4c4f2cf1-cce8-4b22-813c-8cd03c4c424a"]}],"mendeley":{"formattedCitation":"(Fadaki et al., 2022)","plainTextFormattedCitation":"(Fadaki et al., 2022)","previouslyFormattedCitation":"(Fadaki et al., 2022)"},"properties":{"noteIndex":0},"schema":"https://github.com/citation-style-language/schema/raw/master/csl-citation.json"}</w:instrText>
            </w:r>
            <w:r w:rsidRPr="004F6FA4">
              <w:fldChar w:fldCharType="separate"/>
            </w:r>
            <w:r w:rsidR="008D2835" w:rsidRPr="008D2835">
              <w:rPr>
                <w:noProof/>
              </w:rPr>
              <w:t>(Fadaki et al., 2022)</w:t>
            </w:r>
            <w:r w:rsidRPr="004F6FA4">
              <w:fldChar w:fldCharType="end"/>
            </w:r>
          </w:p>
        </w:tc>
        <w:tc>
          <w:tcPr>
            <w:tcW w:w="503" w:type="dxa"/>
          </w:tcPr>
          <w:p w14:paraId="5C429C65" w14:textId="04C382C6" w:rsidR="00AD4EB9" w:rsidRPr="004F6FA4" w:rsidRDefault="00AD4EB9" w:rsidP="004F6FA4">
            <w:pPr>
              <w:pStyle w:val="Table"/>
            </w:pPr>
            <w:r w:rsidRPr="004F6FA4">
              <w:t>Multi</w:t>
            </w:r>
          </w:p>
        </w:tc>
        <w:tc>
          <w:tcPr>
            <w:tcW w:w="900" w:type="dxa"/>
          </w:tcPr>
          <w:p w14:paraId="0276C528" w14:textId="77777777" w:rsidR="00AD4EB9" w:rsidRPr="004F6FA4" w:rsidRDefault="00AD4EB9" w:rsidP="004F6FA4">
            <w:pPr>
              <w:pStyle w:val="Table"/>
            </w:pPr>
            <w:r w:rsidRPr="004F6FA4">
              <w:t>Single</w:t>
            </w:r>
          </w:p>
        </w:tc>
        <w:tc>
          <w:tcPr>
            <w:tcW w:w="630" w:type="dxa"/>
          </w:tcPr>
          <w:p w14:paraId="217649AE" w14:textId="77777777" w:rsidR="00AD4EB9" w:rsidRPr="004F6FA4" w:rsidRDefault="00AD4EB9" w:rsidP="004F6FA4">
            <w:pPr>
              <w:pStyle w:val="Table"/>
            </w:pPr>
            <w:r w:rsidRPr="004F6FA4">
              <w:t>Yes</w:t>
            </w:r>
          </w:p>
        </w:tc>
        <w:tc>
          <w:tcPr>
            <w:tcW w:w="720" w:type="dxa"/>
          </w:tcPr>
          <w:p w14:paraId="51F549E4" w14:textId="77777777" w:rsidR="00AD4EB9" w:rsidRPr="004F6FA4" w:rsidRDefault="00AD4EB9" w:rsidP="004F6FA4">
            <w:pPr>
              <w:pStyle w:val="Table"/>
            </w:pPr>
            <w:r w:rsidRPr="004F6FA4">
              <w:t>-</w:t>
            </w:r>
          </w:p>
        </w:tc>
        <w:tc>
          <w:tcPr>
            <w:tcW w:w="782" w:type="dxa"/>
          </w:tcPr>
          <w:p w14:paraId="5D7674FB" w14:textId="086B2E81" w:rsidR="00AD4EB9" w:rsidRPr="004F6FA4" w:rsidRDefault="00AD4EB9" w:rsidP="004F6FA4">
            <w:pPr>
              <w:pStyle w:val="Table"/>
            </w:pPr>
            <w:r>
              <w:t xml:space="preserve">The </w:t>
            </w:r>
            <w:r w:rsidRPr="004F6FA4">
              <w:t>weighted risk of unvaccinated</w:t>
            </w:r>
            <w:r>
              <w:t xml:space="preserve"> </w:t>
            </w:r>
            <w:r w:rsidRPr="004F6FA4">
              <w:t>population</w:t>
            </w:r>
          </w:p>
        </w:tc>
        <w:tc>
          <w:tcPr>
            <w:tcW w:w="1514" w:type="dxa"/>
          </w:tcPr>
          <w:p w14:paraId="2472AD9B" w14:textId="77777777" w:rsidR="00AD4EB9" w:rsidRPr="004F6FA4" w:rsidRDefault="00AD4EB9" w:rsidP="004F6FA4">
            <w:pPr>
              <w:pStyle w:val="Table"/>
            </w:pPr>
            <w:r w:rsidRPr="004F6FA4">
              <w:t xml:space="preserve"> Minimizing vaccine transfers between locations.</w:t>
            </w:r>
          </w:p>
        </w:tc>
        <w:tc>
          <w:tcPr>
            <w:tcW w:w="986" w:type="dxa"/>
          </w:tcPr>
          <w:p w14:paraId="5E7AE6C7" w14:textId="77777777" w:rsidR="00AD4EB9" w:rsidRPr="004F6FA4" w:rsidRDefault="00AD4EB9" w:rsidP="004F6FA4">
            <w:pPr>
              <w:pStyle w:val="Table"/>
            </w:pPr>
            <w:r w:rsidRPr="004F6FA4">
              <w:t>Mixed integer programming</w:t>
            </w:r>
          </w:p>
        </w:tc>
        <w:tc>
          <w:tcPr>
            <w:tcW w:w="588" w:type="dxa"/>
          </w:tcPr>
          <w:p w14:paraId="5DD4EC1B" w14:textId="77777777" w:rsidR="00AD4EB9" w:rsidRPr="004F6FA4" w:rsidRDefault="00AD4EB9" w:rsidP="004F6FA4">
            <w:pPr>
              <w:pStyle w:val="Table"/>
            </w:pPr>
            <w:r w:rsidRPr="004F6FA4">
              <w:t>3</w:t>
            </w:r>
          </w:p>
        </w:tc>
        <w:tc>
          <w:tcPr>
            <w:tcW w:w="592" w:type="dxa"/>
          </w:tcPr>
          <w:p w14:paraId="4C72B25B" w14:textId="77777777" w:rsidR="00AD4EB9" w:rsidRPr="004F6FA4" w:rsidRDefault="00AD4EB9" w:rsidP="004F6FA4">
            <w:pPr>
              <w:pStyle w:val="Table"/>
            </w:pPr>
            <w:r w:rsidRPr="004F6FA4">
              <w:t>operational</w:t>
            </w:r>
          </w:p>
        </w:tc>
        <w:tc>
          <w:tcPr>
            <w:tcW w:w="602" w:type="dxa"/>
          </w:tcPr>
          <w:p w14:paraId="67313223" w14:textId="77777777" w:rsidR="00AD4EB9" w:rsidRPr="004F6FA4" w:rsidRDefault="00AD4EB9" w:rsidP="004F6FA4">
            <w:pPr>
              <w:pStyle w:val="Table"/>
            </w:pPr>
            <w:r w:rsidRPr="004F6FA4">
              <w:t>-</w:t>
            </w:r>
          </w:p>
        </w:tc>
        <w:tc>
          <w:tcPr>
            <w:tcW w:w="691" w:type="dxa"/>
          </w:tcPr>
          <w:p w14:paraId="655D43D3" w14:textId="77777777" w:rsidR="00AD4EB9" w:rsidRPr="004F6FA4" w:rsidRDefault="00AD4EB9" w:rsidP="004F6FA4">
            <w:pPr>
              <w:pStyle w:val="Table"/>
            </w:pPr>
            <w:r w:rsidRPr="004F6FA4">
              <w:t>*</w:t>
            </w:r>
          </w:p>
        </w:tc>
      </w:tr>
      <w:tr w:rsidR="00AD4EB9" w:rsidRPr="00106C79" w14:paraId="5C71D35E" w14:textId="77777777" w:rsidTr="00AD4EB9">
        <w:trPr>
          <w:jc w:val="center"/>
        </w:trPr>
        <w:tc>
          <w:tcPr>
            <w:tcW w:w="842" w:type="dxa"/>
          </w:tcPr>
          <w:p w14:paraId="06CFAC83" w14:textId="2DBB89B9" w:rsidR="00AD4EB9" w:rsidRPr="004F6FA4" w:rsidRDefault="00AD4EB9" w:rsidP="004F6FA4">
            <w:pPr>
              <w:pStyle w:val="Table"/>
            </w:pPr>
            <w:r w:rsidRPr="004F6FA4">
              <w:fldChar w:fldCharType="begin" w:fldLock="1"/>
            </w:r>
            <w:r w:rsidR="00317095">
              <w:instrText>ADDIN CSL_CITATION {"citationItems":[{"id":"ITEM-1","itemData":{"DOI":"10.1080/0740817X.2013.813094","ISSN":"15458830","abstract":"In many developing countries, inefficiencies in the supply chain for the World Health Organization's Expanded Program on Immunization (EPI) vaccines are of grave concern; these inefficiencies result in thousands of people not being fully immunized and creates significant risk of disease epidemics. Thus, there is a great deal of interest in these countries in building tools to analyze and optimize how vaccines flow down several levels of the supply chain from manufacturers to vaccine recipients. This article develops a mathematical model for typical vaccine distribution networks in developing countries. This model has been successfully adapted for supply chains in three different countries (Niger, Thailand, and Vietnam), and its application to several issues of interest to public health administrators in developing countries is discussed. Copyright © IIE.","author":[{"dropping-particle":"","family":"Chen","given":"Sheng I.","non-dropping-particle":"","parse-names":false,"suffix":""},{"dropping-particle":"","family":"Norman","given":"Bryan A.","non-dropping-particle":"","parse-names":false,"suffix":""},{"dropping-particle":"","family":"Rajgopal","given":"Jayant","non-dropping-particle":"","parse-names":false,"suffix":""},{"dropping-particle":"","family":"Assi","given":"Tina M.","non-dropping-particle":"","parse-names":false,"suffix":""},{"dropping-particle":"","family":"Lee","given":"Bruce Y.","non-dropping-particle":"","parse-names":false,"suffix":""},{"dropping-particle":"","family":"Brown","given":"Shawn T.","non-dropping-particle":"","parse-names":false,"suffix":""}],"container-title":"IIE Transactions (Institute of Industrial Engineers)","id":"ITEM-1","issue":"8","issued":{"date-parts":[["2014"]]},"page":"853-865","title":"A planning model for the WHO-EPI vaccine distribution network in developing countries","type":"article-journal","volume":"46"},"uris":["http://www.mendeley.com/documents/?uuid=1c4f2ee4-2298-47fe-852c-704b01d2b9f3"]}],"mendeley":{"formattedCitation":"(S. I. Chen et al., 2014)","plainTextFormattedCitation":"(S. I. Chen et al., 2014)","previouslyFormattedCitation":"(S. I. Chen et al., 2014)"},"properties":{"noteIndex":0},"schema":"https://github.com/citation-style-language/schema/raw/master/csl-citation.json"}</w:instrText>
            </w:r>
            <w:r w:rsidRPr="004F6FA4">
              <w:fldChar w:fldCharType="separate"/>
            </w:r>
            <w:r w:rsidR="008D2835" w:rsidRPr="008D2835">
              <w:rPr>
                <w:noProof/>
              </w:rPr>
              <w:t>(S. I. Chen et al., 2014)</w:t>
            </w:r>
            <w:r w:rsidRPr="004F6FA4">
              <w:fldChar w:fldCharType="end"/>
            </w:r>
          </w:p>
        </w:tc>
        <w:tc>
          <w:tcPr>
            <w:tcW w:w="503" w:type="dxa"/>
          </w:tcPr>
          <w:p w14:paraId="6819CBD2" w14:textId="32471972" w:rsidR="00AD4EB9" w:rsidRPr="004F6FA4" w:rsidRDefault="00AD4EB9" w:rsidP="004F6FA4">
            <w:pPr>
              <w:pStyle w:val="Table"/>
            </w:pPr>
            <w:r w:rsidRPr="004F6FA4">
              <w:t>Multi</w:t>
            </w:r>
          </w:p>
        </w:tc>
        <w:tc>
          <w:tcPr>
            <w:tcW w:w="900" w:type="dxa"/>
          </w:tcPr>
          <w:p w14:paraId="40AD13E7" w14:textId="5392196C" w:rsidR="00AD4EB9" w:rsidRPr="004F6FA4" w:rsidRDefault="00AD4EB9" w:rsidP="004F6FA4">
            <w:pPr>
              <w:pStyle w:val="Table"/>
            </w:pPr>
            <w:r w:rsidRPr="004F6FA4">
              <w:t>Multi</w:t>
            </w:r>
          </w:p>
        </w:tc>
        <w:tc>
          <w:tcPr>
            <w:tcW w:w="630" w:type="dxa"/>
          </w:tcPr>
          <w:p w14:paraId="4AE14BE0" w14:textId="77777777" w:rsidR="00AD4EB9" w:rsidRPr="004F6FA4" w:rsidRDefault="00AD4EB9" w:rsidP="004F6FA4">
            <w:pPr>
              <w:pStyle w:val="Table"/>
            </w:pPr>
            <w:r w:rsidRPr="004F6FA4">
              <w:t>yes</w:t>
            </w:r>
          </w:p>
        </w:tc>
        <w:tc>
          <w:tcPr>
            <w:tcW w:w="720" w:type="dxa"/>
          </w:tcPr>
          <w:p w14:paraId="4028AABD" w14:textId="77777777" w:rsidR="00AD4EB9" w:rsidRPr="004F6FA4" w:rsidRDefault="00AD4EB9" w:rsidP="004F6FA4">
            <w:pPr>
              <w:pStyle w:val="Table"/>
            </w:pPr>
            <w:r w:rsidRPr="004F6FA4">
              <w:t>-</w:t>
            </w:r>
          </w:p>
        </w:tc>
        <w:tc>
          <w:tcPr>
            <w:tcW w:w="782" w:type="dxa"/>
          </w:tcPr>
          <w:p w14:paraId="5162B24B" w14:textId="1C779564" w:rsidR="00AD4EB9" w:rsidRPr="004F6FA4" w:rsidRDefault="00AD4EB9" w:rsidP="004F6FA4">
            <w:pPr>
              <w:pStyle w:val="Table"/>
            </w:pPr>
            <w:r>
              <w:t>Constraint on V</w:t>
            </w:r>
            <w:r w:rsidRPr="004F6FA4">
              <w:t>accination rate</w:t>
            </w:r>
          </w:p>
        </w:tc>
        <w:tc>
          <w:tcPr>
            <w:tcW w:w="1514" w:type="dxa"/>
          </w:tcPr>
          <w:p w14:paraId="16C94A30" w14:textId="028EDDC2" w:rsidR="00AD4EB9" w:rsidRPr="004F6FA4" w:rsidRDefault="00AD4EB9" w:rsidP="003522BA">
            <w:pPr>
              <w:pStyle w:val="Table"/>
            </w:pPr>
            <w:r>
              <w:t>M</w:t>
            </w:r>
            <w:r w:rsidRPr="004F6FA4">
              <w:t xml:space="preserve">aximize the number of </w:t>
            </w:r>
            <w:r>
              <w:t>vaccinated individuals.</w:t>
            </w:r>
          </w:p>
        </w:tc>
        <w:tc>
          <w:tcPr>
            <w:tcW w:w="986" w:type="dxa"/>
          </w:tcPr>
          <w:p w14:paraId="432FC245" w14:textId="77777777" w:rsidR="00AD4EB9" w:rsidRPr="004F6FA4" w:rsidRDefault="00AD4EB9" w:rsidP="004F6FA4">
            <w:pPr>
              <w:pStyle w:val="Table"/>
            </w:pPr>
            <w:r w:rsidRPr="004F6FA4">
              <w:t>Mixed integer programming</w:t>
            </w:r>
          </w:p>
        </w:tc>
        <w:tc>
          <w:tcPr>
            <w:tcW w:w="588" w:type="dxa"/>
          </w:tcPr>
          <w:p w14:paraId="17E5819A" w14:textId="77777777" w:rsidR="00AD4EB9" w:rsidRPr="004F6FA4" w:rsidRDefault="00AD4EB9" w:rsidP="004F6FA4">
            <w:pPr>
              <w:pStyle w:val="Table"/>
            </w:pPr>
            <w:r w:rsidRPr="004F6FA4">
              <w:t>3</w:t>
            </w:r>
          </w:p>
        </w:tc>
        <w:tc>
          <w:tcPr>
            <w:tcW w:w="592" w:type="dxa"/>
          </w:tcPr>
          <w:p w14:paraId="5AA9B0DC" w14:textId="77777777" w:rsidR="00AD4EB9" w:rsidRPr="004F6FA4" w:rsidRDefault="00AD4EB9" w:rsidP="004F6FA4">
            <w:pPr>
              <w:pStyle w:val="Table"/>
            </w:pPr>
            <w:r w:rsidRPr="004F6FA4">
              <w:t>tactical</w:t>
            </w:r>
          </w:p>
        </w:tc>
        <w:tc>
          <w:tcPr>
            <w:tcW w:w="602" w:type="dxa"/>
          </w:tcPr>
          <w:p w14:paraId="3AF2BF70" w14:textId="77777777" w:rsidR="00AD4EB9" w:rsidRPr="004F6FA4" w:rsidRDefault="00AD4EB9" w:rsidP="004F6FA4">
            <w:pPr>
              <w:pStyle w:val="Table"/>
            </w:pPr>
            <w:r w:rsidRPr="004F6FA4">
              <w:t>-</w:t>
            </w:r>
          </w:p>
        </w:tc>
        <w:tc>
          <w:tcPr>
            <w:tcW w:w="691" w:type="dxa"/>
          </w:tcPr>
          <w:p w14:paraId="0DA70B86" w14:textId="77777777" w:rsidR="00AD4EB9" w:rsidRPr="004F6FA4" w:rsidRDefault="00AD4EB9" w:rsidP="004F6FA4">
            <w:pPr>
              <w:pStyle w:val="Table"/>
            </w:pPr>
            <w:r w:rsidRPr="004F6FA4">
              <w:t>*</w:t>
            </w:r>
          </w:p>
        </w:tc>
      </w:tr>
      <w:tr w:rsidR="00622092" w:rsidRPr="00106C79" w14:paraId="3927CA75" w14:textId="77777777" w:rsidTr="00AD4EB9">
        <w:trPr>
          <w:jc w:val="center"/>
        </w:trPr>
        <w:tc>
          <w:tcPr>
            <w:tcW w:w="842" w:type="dxa"/>
          </w:tcPr>
          <w:p w14:paraId="5B939E54" w14:textId="30788A82" w:rsidR="00622092" w:rsidRPr="004F6FA4" w:rsidRDefault="00622092" w:rsidP="004F6FA4">
            <w:pPr>
              <w:pStyle w:val="Table"/>
            </w:pPr>
            <w:r>
              <w:fldChar w:fldCharType="begin" w:fldLock="1"/>
            </w:r>
            <w:r w:rsidR="00317095">
              <w:instrText>ADDIN CSL_CITATION {"citationItems":[{"id":"ITEM-1","itemData":{"DOI":"10.1007/S41660-020-00141-8/FIGURES/7","ISSN":"25094246","abstract":"The fair allocation of resources among multiple stakeholders in any area is a complex challenge for decision-making. This paper presents an optimization strategy for the allocation of COVID-19 vaccines, when they are available, through different fairness schemes (social welfare, Nash, Rawlsian justice, and social welfare II scheme). The applicability of the proposed model is illustrated using the case study of Mexico, including the states of the country as stakeholders. We involve several parameters to guide the allocation, such as the size, risk profiles, and fraction of vulnerable groups in the population. Furthermore, different scenarios of the availability of potential COVID-19 vaccines were evaluated. The social welfare approach is the most commonly used scheme for the allocation of resources. However, we demonstrate that this scheme yields non-unique or multiple solutions (through the social welfare II approach). These social welfare approaches provide inequalities in the allocations that become critical when resources are scarce. Specifically, the social welfare scheme favors large stakeholders (greater population) in all scenarios. We also observe how the complexity of the allocation increases with the higher availability of vaccines. Hence, it is relevant to consider allocation schemes to identify fair solutions.","author":[{"dropping-particle":"","family":"Munguía-López","given":"Aurora del Carmen","non-dropping-particle":"","parse-names":false,"suffix":""},{"dropping-particle":"","family":"Ponce-Ortega","given":"José María","non-dropping-particle":"","parse-names":false,"suffix":""}],"container-title":"Process Integration and Optimization for Sustainability","id":"ITEM-1","issue":"1","issued":{"date-parts":[["2021","3","1"]]},"page":"3-12","publisher":"Springer","title":"Fair Allocation of Potential COVID-19 Vaccines Using an Optimization-Based Strategy","type":"article-journal","volume":"5"},"uris":["http://www.mendeley.com/documents/?uuid=b7a81570-56e0-3731-9bdb-49fc8c8a77f9"]}],"mendeley":{"formattedCitation":"(Munguía-López &amp; Ponce-Ortega, 2021)","plainTextFormattedCitation":"(Munguía-López &amp; Ponce-Ortega, 2021)","previouslyFormattedCitation":"(Munguía-López &amp; Ponce-Ortega, 2021)"},"properties":{"noteIndex":0},"schema":"https://github.com/citation-style-language/schema/raw/master/csl-citation.json"}</w:instrText>
            </w:r>
            <w:r>
              <w:fldChar w:fldCharType="separate"/>
            </w:r>
            <w:r w:rsidR="008D2835" w:rsidRPr="008D2835">
              <w:rPr>
                <w:noProof/>
              </w:rPr>
              <w:t>(Munguía-López &amp; Ponce-Ortega, 2021)</w:t>
            </w:r>
            <w:r>
              <w:fldChar w:fldCharType="end"/>
            </w:r>
          </w:p>
        </w:tc>
        <w:tc>
          <w:tcPr>
            <w:tcW w:w="503" w:type="dxa"/>
          </w:tcPr>
          <w:p w14:paraId="492DD84D" w14:textId="09076C37" w:rsidR="00622092" w:rsidRPr="004F6FA4" w:rsidRDefault="00622092" w:rsidP="004F6FA4">
            <w:pPr>
              <w:pStyle w:val="Table"/>
            </w:pPr>
            <w:r>
              <w:t>Single</w:t>
            </w:r>
          </w:p>
        </w:tc>
        <w:tc>
          <w:tcPr>
            <w:tcW w:w="900" w:type="dxa"/>
          </w:tcPr>
          <w:p w14:paraId="7ECFEF5D" w14:textId="30D58FAB" w:rsidR="00622092" w:rsidRPr="004F6FA4" w:rsidRDefault="00622092" w:rsidP="004F6FA4">
            <w:pPr>
              <w:pStyle w:val="Table"/>
            </w:pPr>
            <w:r>
              <w:t>Single</w:t>
            </w:r>
          </w:p>
        </w:tc>
        <w:tc>
          <w:tcPr>
            <w:tcW w:w="630" w:type="dxa"/>
          </w:tcPr>
          <w:p w14:paraId="0A1ECA7C" w14:textId="0BF56BFD" w:rsidR="00622092" w:rsidRPr="004F6FA4" w:rsidRDefault="00622092" w:rsidP="004F6FA4">
            <w:pPr>
              <w:pStyle w:val="Table"/>
            </w:pPr>
            <w:r>
              <w:t>-</w:t>
            </w:r>
          </w:p>
        </w:tc>
        <w:tc>
          <w:tcPr>
            <w:tcW w:w="720" w:type="dxa"/>
          </w:tcPr>
          <w:p w14:paraId="5A4AA8B9" w14:textId="613C8CB8" w:rsidR="00622092" w:rsidRPr="004F6FA4" w:rsidRDefault="00622092" w:rsidP="004F6FA4">
            <w:pPr>
              <w:pStyle w:val="Table"/>
            </w:pPr>
            <w:r>
              <w:t>-</w:t>
            </w:r>
          </w:p>
        </w:tc>
        <w:tc>
          <w:tcPr>
            <w:tcW w:w="782" w:type="dxa"/>
          </w:tcPr>
          <w:p w14:paraId="7D37AB74" w14:textId="07BAAE82" w:rsidR="00622092" w:rsidRDefault="00622092" w:rsidP="004F6FA4">
            <w:pPr>
              <w:pStyle w:val="Table"/>
            </w:pPr>
            <w:r>
              <w:t>Social welfare,</w:t>
            </w:r>
            <w:r w:rsidRPr="004F6FA4">
              <w:t xml:space="preserve"> Rawl, and</w:t>
            </w:r>
            <w:r>
              <w:t xml:space="preserve"> Nash theories</w:t>
            </w:r>
          </w:p>
        </w:tc>
        <w:tc>
          <w:tcPr>
            <w:tcW w:w="1514" w:type="dxa"/>
          </w:tcPr>
          <w:p w14:paraId="5BB970B5" w14:textId="1C3FEA8D" w:rsidR="00622092" w:rsidRDefault="00622092" w:rsidP="003522BA">
            <w:pPr>
              <w:pStyle w:val="Table"/>
            </w:pPr>
            <w:r>
              <w:t>-</w:t>
            </w:r>
          </w:p>
        </w:tc>
        <w:tc>
          <w:tcPr>
            <w:tcW w:w="986" w:type="dxa"/>
          </w:tcPr>
          <w:p w14:paraId="7425BB6C" w14:textId="683E56BC" w:rsidR="00622092" w:rsidRPr="004F6FA4" w:rsidRDefault="00622092" w:rsidP="004F6FA4">
            <w:pPr>
              <w:pStyle w:val="Table"/>
            </w:pPr>
            <w:r>
              <w:t>LP and NLP</w:t>
            </w:r>
          </w:p>
        </w:tc>
        <w:tc>
          <w:tcPr>
            <w:tcW w:w="588" w:type="dxa"/>
          </w:tcPr>
          <w:p w14:paraId="66941F1C" w14:textId="3A92518C" w:rsidR="00622092" w:rsidRPr="004F6FA4" w:rsidRDefault="00622092" w:rsidP="004F6FA4">
            <w:pPr>
              <w:pStyle w:val="Table"/>
            </w:pPr>
            <w:r>
              <w:t>1</w:t>
            </w:r>
          </w:p>
        </w:tc>
        <w:tc>
          <w:tcPr>
            <w:tcW w:w="592" w:type="dxa"/>
          </w:tcPr>
          <w:p w14:paraId="5B7A5F32" w14:textId="5B78FC94" w:rsidR="00622092" w:rsidRPr="004F6FA4" w:rsidRDefault="00622092" w:rsidP="004F6FA4">
            <w:pPr>
              <w:pStyle w:val="Table"/>
            </w:pPr>
            <w:r w:rsidRPr="004F6FA4">
              <w:t>tactical</w:t>
            </w:r>
          </w:p>
        </w:tc>
        <w:tc>
          <w:tcPr>
            <w:tcW w:w="602" w:type="dxa"/>
          </w:tcPr>
          <w:p w14:paraId="00A2DBD5" w14:textId="4B7E9B66" w:rsidR="00622092" w:rsidRPr="004F6FA4" w:rsidRDefault="00622092" w:rsidP="004F6FA4">
            <w:pPr>
              <w:pStyle w:val="Table"/>
            </w:pPr>
            <w:r>
              <w:t>-</w:t>
            </w:r>
          </w:p>
        </w:tc>
        <w:tc>
          <w:tcPr>
            <w:tcW w:w="691" w:type="dxa"/>
          </w:tcPr>
          <w:p w14:paraId="02D8259E" w14:textId="531C6588" w:rsidR="00622092" w:rsidRPr="004F6FA4" w:rsidRDefault="00622092" w:rsidP="004F6FA4">
            <w:pPr>
              <w:pStyle w:val="Table"/>
            </w:pPr>
            <w:r>
              <w:t>*</w:t>
            </w:r>
          </w:p>
        </w:tc>
      </w:tr>
      <w:tr w:rsidR="00FD6250" w:rsidRPr="00106C79" w14:paraId="3F240C8A" w14:textId="77777777" w:rsidTr="00AD4EB9">
        <w:trPr>
          <w:jc w:val="center"/>
        </w:trPr>
        <w:tc>
          <w:tcPr>
            <w:tcW w:w="842" w:type="dxa"/>
          </w:tcPr>
          <w:p w14:paraId="7D6E26E4" w14:textId="0F5EF96E" w:rsidR="00FD6250" w:rsidRDefault="00FD6250" w:rsidP="00FD6250">
            <w:pPr>
              <w:pStyle w:val="Table"/>
            </w:pPr>
            <w:r>
              <w:fldChar w:fldCharType="begin" w:fldLock="1"/>
            </w:r>
            <w:r w:rsidR="00317095">
              <w:instrText>ADDIN CSL_CITATION {"citationItems":[{"id":"ITEM-1","itemData":{"DOI":"10.1016/J.CIE.2022.108031","ISSN":"0360-8352","abstract":"This paper addresses a framework for the operational allocation and administration of COVID-19 vaccines in Thailand, based on both COVID-19 transmission dynamics and other vital operational restrictions that might affect the effectiveness of vaccination strategies in the early stage of vaccine rollout. In this framework, the SIQRV model is first developed and later combined with the COVID-19 Vaccine Allocation Problem (CVAP) to determine the optimal allocation/administration strategies that minimize total weighted strain on the whole healthcare system. According to Thailand's second pandemic wave data (17th January 2021, to 15th February 2021), we find that the epicenter-based strategy is surprisingly the worst allocation strategy, due largely to the negligence of provincial demographics, vaccine efficacy, and overall transmission dynamics that lead to higher number of infectious individuals. We also find that early vaccination seems to significantly contribute to the reduction in the number of infectious individuals, whose effects tend to increase with more vaccine supply. With these insights, healthcare policy-makers should therefore focus not only on the procurement of COVID-19 vaccines at strategic levels but also on the allocation and administration of such vaccines at operational levels for the best of their limited vaccine supply.","author":[{"dropping-particle":"","family":"Jarumaneeroj","given":"Pisit","non-dropping-particle":"","parse-names":false,"suffix":""},{"dropping-particle":"","family":"Dusadeerungsikul","given":"Puwadol Oak","non-dropping-particle":"","parse-names":false,"suffix":""},{"dropping-particle":"","family":"Chotivanich","given":"Tharin","non-dropping-particle":"","parse-names":false,"suffix":""},{"dropping-particle":"","family":"Nopsopon","given":"Tanawin","non-dropping-particle":"","parse-names":false,"suffix":""},{"dropping-particle":"","family":"Pongpirul","given":"Krit","non-dropping-particle":"","parse-names":false,"suffix":""}],"container-title":"Computers &amp; Industrial Engineering","id":"ITEM-1","issued":{"date-parts":[["2022","5","1"]]},"page":"108031","publisher":"Pergamon","title":"An epidemiology-based model for the operational allocation of COVID-19 vaccines: A case study of Thailand","type":"article-journal","volume":"167"},"uris":["http://www.mendeley.com/documents/?uuid=bbc029b2-a786-3220-ae0c-716120c05332"]}],"mendeley":{"formattedCitation":"(Jarumaneeroj et al., 2022)","plainTextFormattedCitation":"(Jarumaneeroj et al., 2022)","previouslyFormattedCitation":"(Jarumaneeroj et al., 2022)"},"properties":{"noteIndex":0},"schema":"https://github.com/citation-style-language/schema/raw/master/csl-citation.json"}</w:instrText>
            </w:r>
            <w:r>
              <w:fldChar w:fldCharType="separate"/>
            </w:r>
            <w:r w:rsidR="008D2835" w:rsidRPr="008D2835">
              <w:rPr>
                <w:noProof/>
              </w:rPr>
              <w:t>(Jarumaneeroj et al., 2022)</w:t>
            </w:r>
            <w:r>
              <w:fldChar w:fldCharType="end"/>
            </w:r>
          </w:p>
        </w:tc>
        <w:tc>
          <w:tcPr>
            <w:tcW w:w="503" w:type="dxa"/>
          </w:tcPr>
          <w:p w14:paraId="05D6F67D" w14:textId="051863FF" w:rsidR="00FD6250" w:rsidRDefault="00FD6250" w:rsidP="00FD6250">
            <w:pPr>
              <w:pStyle w:val="Table"/>
            </w:pPr>
            <w:r w:rsidRPr="004F6FA4">
              <w:t>Multi</w:t>
            </w:r>
          </w:p>
        </w:tc>
        <w:tc>
          <w:tcPr>
            <w:tcW w:w="900" w:type="dxa"/>
          </w:tcPr>
          <w:p w14:paraId="22BABE0D" w14:textId="13C0D653" w:rsidR="00FD6250" w:rsidRDefault="00FD6250" w:rsidP="00FD6250">
            <w:pPr>
              <w:pStyle w:val="Table"/>
            </w:pPr>
            <w:r w:rsidRPr="004F6FA4">
              <w:t>Multi</w:t>
            </w:r>
          </w:p>
        </w:tc>
        <w:tc>
          <w:tcPr>
            <w:tcW w:w="630" w:type="dxa"/>
          </w:tcPr>
          <w:p w14:paraId="7119CBBE" w14:textId="74CA2BF7" w:rsidR="00FD6250" w:rsidRDefault="00FD6250" w:rsidP="00FD6250">
            <w:pPr>
              <w:pStyle w:val="Table"/>
            </w:pPr>
            <w:r>
              <w:t>Yes</w:t>
            </w:r>
          </w:p>
        </w:tc>
        <w:tc>
          <w:tcPr>
            <w:tcW w:w="720" w:type="dxa"/>
          </w:tcPr>
          <w:p w14:paraId="05AA1BC2" w14:textId="0B059D3E" w:rsidR="00FD6250" w:rsidRDefault="00FD6250" w:rsidP="00FD6250">
            <w:pPr>
              <w:pStyle w:val="Table"/>
            </w:pPr>
            <w:r>
              <w:t>-</w:t>
            </w:r>
          </w:p>
        </w:tc>
        <w:tc>
          <w:tcPr>
            <w:tcW w:w="782" w:type="dxa"/>
          </w:tcPr>
          <w:p w14:paraId="69F78BF5" w14:textId="24F85DB5" w:rsidR="00FD6250" w:rsidRDefault="00FD6250" w:rsidP="00FD6250">
            <w:pPr>
              <w:pStyle w:val="Table"/>
            </w:pPr>
            <w:r>
              <w:t>Lower bound on vaccination coverage</w:t>
            </w:r>
          </w:p>
        </w:tc>
        <w:tc>
          <w:tcPr>
            <w:tcW w:w="1514" w:type="dxa"/>
          </w:tcPr>
          <w:p w14:paraId="58C135D5" w14:textId="3D0E2B8F" w:rsidR="00FD6250" w:rsidRDefault="00FD6250" w:rsidP="00FD6250">
            <w:pPr>
              <w:pStyle w:val="Table"/>
            </w:pPr>
            <w:r>
              <w:t xml:space="preserve">Minimizing total number of infectious </w:t>
            </w:r>
            <w:r w:rsidR="001307EA">
              <w:t>individuals</w:t>
            </w:r>
            <w:r>
              <w:t xml:space="preserve"> </w:t>
            </w:r>
          </w:p>
        </w:tc>
        <w:tc>
          <w:tcPr>
            <w:tcW w:w="986" w:type="dxa"/>
          </w:tcPr>
          <w:p w14:paraId="073B0193" w14:textId="191748AC" w:rsidR="00FD6250" w:rsidRDefault="00FD6250" w:rsidP="00FD6250">
            <w:pPr>
              <w:pStyle w:val="Table"/>
            </w:pPr>
            <w:r w:rsidRPr="00FD6250">
              <w:rPr>
                <w:sz w:val="14"/>
                <w:szCs w:val="14"/>
              </w:rPr>
              <w:t>Disease</w:t>
            </w:r>
            <w:r>
              <w:rPr>
                <w:rFonts w:ascii="MinionPro-Regular" w:hAnsi="MinionPro-Regular" w:cs="MinionPro-Regular"/>
                <w:sz w:val="14"/>
                <w:szCs w:val="14"/>
              </w:rPr>
              <w:t xml:space="preserve"> </w:t>
            </w:r>
            <w:r>
              <w:rPr>
                <w:sz w:val="14"/>
                <w:szCs w:val="14"/>
              </w:rPr>
              <w:t xml:space="preserve">spread model </w:t>
            </w:r>
          </w:p>
        </w:tc>
        <w:tc>
          <w:tcPr>
            <w:tcW w:w="588" w:type="dxa"/>
          </w:tcPr>
          <w:p w14:paraId="7DB82C08" w14:textId="13FFD196" w:rsidR="00FD6250" w:rsidRDefault="00FD6250" w:rsidP="00FD6250">
            <w:pPr>
              <w:pStyle w:val="Table"/>
            </w:pPr>
            <w:r>
              <w:t>2, 3</w:t>
            </w:r>
          </w:p>
        </w:tc>
        <w:tc>
          <w:tcPr>
            <w:tcW w:w="592" w:type="dxa"/>
          </w:tcPr>
          <w:p w14:paraId="1D7E21A0" w14:textId="489C31F7" w:rsidR="00FD6250" w:rsidRPr="004F6FA4" w:rsidRDefault="00FD6250" w:rsidP="00FD6250">
            <w:pPr>
              <w:pStyle w:val="Table"/>
            </w:pPr>
            <w:r w:rsidRPr="004F6FA4">
              <w:t>Tactical</w:t>
            </w:r>
            <w:r>
              <w:t xml:space="preserve"> and operational</w:t>
            </w:r>
          </w:p>
        </w:tc>
        <w:tc>
          <w:tcPr>
            <w:tcW w:w="602" w:type="dxa"/>
          </w:tcPr>
          <w:p w14:paraId="0ADCAE33" w14:textId="20265CF7" w:rsidR="00FD6250" w:rsidRDefault="00FD6250" w:rsidP="00FD6250">
            <w:pPr>
              <w:pStyle w:val="Table"/>
            </w:pPr>
            <w:r>
              <w:t>-</w:t>
            </w:r>
          </w:p>
        </w:tc>
        <w:tc>
          <w:tcPr>
            <w:tcW w:w="691" w:type="dxa"/>
          </w:tcPr>
          <w:p w14:paraId="4F13A169" w14:textId="7E550ED1" w:rsidR="00FD6250" w:rsidRDefault="00FD6250" w:rsidP="00FD6250">
            <w:pPr>
              <w:pStyle w:val="Table"/>
            </w:pPr>
            <w:r>
              <w:t>*</w:t>
            </w:r>
          </w:p>
        </w:tc>
      </w:tr>
      <w:tr w:rsidR="001307EA" w:rsidRPr="00106C79" w14:paraId="2072BD7A" w14:textId="77777777" w:rsidTr="00AD4EB9">
        <w:trPr>
          <w:jc w:val="center"/>
        </w:trPr>
        <w:tc>
          <w:tcPr>
            <w:tcW w:w="842" w:type="dxa"/>
          </w:tcPr>
          <w:p w14:paraId="6DAB3037" w14:textId="10A3A566" w:rsidR="001307EA" w:rsidRDefault="001307EA" w:rsidP="001307EA">
            <w:pPr>
              <w:pStyle w:val="Table"/>
            </w:pPr>
            <w:r>
              <w:fldChar w:fldCharType="begin" w:fldLock="1"/>
            </w:r>
            <w:r w:rsidR="00317095">
              <w:instrText>ADDIN CSL_CITATION {"citationItems":[{"id":"ITEM-1","itemData":{"DOI":"10.1007/S10479-022-04713-4/FIGURES/23","ISSN":"15729338","abstract":"In this paper, a new responsive-green-cold vaccine supply chain network during the COVID-19 pandemic is developed for the first time. According to the proposed network, a new multi-objective, multi-period, multi-echelon mathematical model for the distribution-allocation-location problem is designed. Another important novelty in this paper is that it considers an Internet-of-Things application in the COVID-19 condition in the suggested model to enhance the accuracy, speed, and justice of vaccine injection with existing priorities. Waste management, environmental effects, coverage demand, and delivery time of COVID-19 vaccine simultaneously are therefore considered for the first time. The LP-metric method and meta-heuristic algorithms called Gray Wolf Optimization (GWO), and Variable Neighborhood Search (VNS) algorithms are then used to solve the developed model. The other significant contribution, based on two presented meta-heuristic algorithms, is a new heuristic method called modified GWO (MGWO), and is developed for the first time to solve the model. Therefore, a set of test problems in different sizes is provided. Hence, to evaluate the proposed algorithms, assessment metrics including (1) percentage of domination, (2) the number of Pareto solutions, (3) data envelopment analysis, and (4) diversification metrics and the performance of the convergence are considered. Moreover, the Taguchi method is used to tune the algorithm’s parameters. Accordingly, to illustrate the efficiency of the model developed, a real case study in Iran is suggested. Finally, the results of this research show MGO offers higher quality and better performance than other proposed algorithms based on assessment metrics, computational time, and convergence.","author":[{"dropping-particle":"","family":"Goodarzian","given":"Fariba","non-dropping-particle":"","parse-names":false,"suffix":""},{"dropping-particle":"","family":"Navaei","given":"Ali","non-dropping-particle":"","parse-names":false,"suffix":""},{"dropping-particle":"","family":"Ehsani","given":"Behdad","non-dropping-particle":"","parse-names":false,"suffix":""},{"dropping-particle":"","family":"Ghasemi","given":"Peiman","non-dropping-particle":"","parse-names":false,"suffix":""},{"dropping-particle":"","family":"Muñuzuri","given":"Jesús","non-dropping-particle":"","parse-names":false,"suffix":""}],"container-title":"Annals of Operations Research","id":"ITEM-1","issued":{"date-parts":[["2022","5","5"]]},"page":"1-45","publisher":"Springer","title":"Designing an integrated responsive-green-cold vaccine supply chain network using Internet-of-Things: artificial intelligence-based solutions","type":"article-journal"},"uris":["http://www.mendeley.com/documents/?uuid=369cec41-541e-3e58-8bec-369336b26d3a"]}],"mendeley":{"formattedCitation":"(Goodarzian et al., 2022)","plainTextFormattedCitation":"(Goodarzian et al., 2022)","previouslyFormattedCitation":"(Goodarzian et al., 2022)"},"properties":{"noteIndex":0},"schema":"https://github.com/citation-style-language/schema/raw/master/csl-citation.json"}</w:instrText>
            </w:r>
            <w:r>
              <w:fldChar w:fldCharType="separate"/>
            </w:r>
            <w:r w:rsidR="008D2835" w:rsidRPr="008D2835">
              <w:rPr>
                <w:noProof/>
              </w:rPr>
              <w:t>(Goodarzian et al., 2022)</w:t>
            </w:r>
            <w:r>
              <w:fldChar w:fldCharType="end"/>
            </w:r>
          </w:p>
        </w:tc>
        <w:tc>
          <w:tcPr>
            <w:tcW w:w="503" w:type="dxa"/>
          </w:tcPr>
          <w:p w14:paraId="5B65B154" w14:textId="2133A0E1" w:rsidR="001307EA" w:rsidRPr="004F6FA4" w:rsidRDefault="001307EA" w:rsidP="001307EA">
            <w:pPr>
              <w:pStyle w:val="Table"/>
            </w:pPr>
            <w:r w:rsidRPr="004F6FA4">
              <w:t>Multi</w:t>
            </w:r>
          </w:p>
        </w:tc>
        <w:tc>
          <w:tcPr>
            <w:tcW w:w="900" w:type="dxa"/>
          </w:tcPr>
          <w:p w14:paraId="6750CD63" w14:textId="54AF9E8B" w:rsidR="001307EA" w:rsidRPr="004F6FA4" w:rsidRDefault="001307EA" w:rsidP="001307EA">
            <w:pPr>
              <w:pStyle w:val="Table"/>
            </w:pPr>
            <w:r w:rsidRPr="004F6FA4">
              <w:t>Multi</w:t>
            </w:r>
          </w:p>
        </w:tc>
        <w:tc>
          <w:tcPr>
            <w:tcW w:w="630" w:type="dxa"/>
          </w:tcPr>
          <w:p w14:paraId="21E4420F" w14:textId="479BC010" w:rsidR="001307EA" w:rsidRDefault="001307EA" w:rsidP="001307EA">
            <w:pPr>
              <w:pStyle w:val="Table"/>
            </w:pPr>
            <w:r>
              <w:t>Yes</w:t>
            </w:r>
          </w:p>
        </w:tc>
        <w:tc>
          <w:tcPr>
            <w:tcW w:w="720" w:type="dxa"/>
          </w:tcPr>
          <w:p w14:paraId="4CC6ECED" w14:textId="3D2404AC" w:rsidR="001307EA" w:rsidRDefault="001307EA" w:rsidP="001307EA">
            <w:pPr>
              <w:pStyle w:val="Table"/>
            </w:pPr>
            <w:r>
              <w:t>-</w:t>
            </w:r>
          </w:p>
        </w:tc>
        <w:tc>
          <w:tcPr>
            <w:tcW w:w="782" w:type="dxa"/>
          </w:tcPr>
          <w:p w14:paraId="499514E2" w14:textId="58B9CA04" w:rsidR="001307EA" w:rsidRDefault="001307EA" w:rsidP="001307EA">
            <w:pPr>
              <w:spacing w:before="0" w:after="0"/>
              <w:ind w:firstLine="0"/>
              <w:jc w:val="left"/>
              <w:rPr>
                <w:rFonts w:ascii="MinionPro-Regular" w:hAnsi="MinionPro-Regular" w:cs="MinionPro-Regular"/>
                <w:sz w:val="14"/>
                <w:szCs w:val="14"/>
              </w:rPr>
            </w:pPr>
            <w:r>
              <w:rPr>
                <w:rFonts w:ascii="MinionPro-Regular" w:hAnsi="MinionPro-Regular" w:cs="MinionPro-Regular"/>
                <w:sz w:val="14"/>
                <w:szCs w:val="14"/>
              </w:rPr>
              <w:t>Minimizing the maximum unmet</w:t>
            </w:r>
          </w:p>
          <w:p w14:paraId="067C11C6" w14:textId="774EF8B7" w:rsidR="001307EA" w:rsidRDefault="001307EA" w:rsidP="001307EA">
            <w:pPr>
              <w:pStyle w:val="Table"/>
            </w:pPr>
            <w:r>
              <w:rPr>
                <w:rFonts w:ascii="MinionPro-Regular" w:hAnsi="MinionPro-Regular" w:cs="MinionPro-Regular"/>
                <w:sz w:val="14"/>
                <w:szCs w:val="14"/>
              </w:rPr>
              <w:t>demand</w:t>
            </w:r>
          </w:p>
        </w:tc>
        <w:tc>
          <w:tcPr>
            <w:tcW w:w="1514" w:type="dxa"/>
          </w:tcPr>
          <w:p w14:paraId="32348B8E" w14:textId="2F0203B4" w:rsidR="001307EA" w:rsidRDefault="001307EA" w:rsidP="001307EA">
            <w:pPr>
              <w:pStyle w:val="Table"/>
            </w:pPr>
            <w:r>
              <w:t>Minimizing the total vaccination</w:t>
            </w:r>
          </w:p>
          <w:p w14:paraId="732C5D0D" w14:textId="211EEE2B" w:rsidR="00515BA5" w:rsidRDefault="00515BA5" w:rsidP="00515BA5">
            <w:pPr>
              <w:pStyle w:val="Table"/>
            </w:pPr>
            <w:r>
              <w:t>C</w:t>
            </w:r>
            <w:r w:rsidR="001307EA">
              <w:t>ost</w:t>
            </w:r>
            <w:r>
              <w:t xml:space="preserve"> and </w:t>
            </w:r>
            <w:r w:rsidR="001307EA">
              <w:t>delivery time</w:t>
            </w:r>
          </w:p>
          <w:p w14:paraId="60C28BF4" w14:textId="7CE444CB" w:rsidR="001307EA" w:rsidRDefault="001307EA" w:rsidP="001307EA">
            <w:pPr>
              <w:pStyle w:val="Table"/>
            </w:pPr>
          </w:p>
        </w:tc>
        <w:tc>
          <w:tcPr>
            <w:tcW w:w="986" w:type="dxa"/>
          </w:tcPr>
          <w:p w14:paraId="2280043B" w14:textId="34FCF7AA" w:rsidR="001307EA" w:rsidRPr="00FD6250" w:rsidRDefault="00515BA5" w:rsidP="001307EA">
            <w:pPr>
              <w:pStyle w:val="Table"/>
              <w:rPr>
                <w:sz w:val="14"/>
                <w:szCs w:val="14"/>
              </w:rPr>
            </w:pPr>
            <w:r>
              <w:rPr>
                <w:rFonts w:ascii="Times-Roman" w:hAnsi="Times-Roman" w:cs="Times-Roman"/>
                <w:sz w:val="19"/>
                <w:szCs w:val="19"/>
              </w:rPr>
              <w:t>MILNP</w:t>
            </w:r>
          </w:p>
        </w:tc>
        <w:tc>
          <w:tcPr>
            <w:tcW w:w="588" w:type="dxa"/>
          </w:tcPr>
          <w:p w14:paraId="242F1730" w14:textId="728ED940" w:rsidR="001307EA" w:rsidRDefault="00515BA5" w:rsidP="001307EA">
            <w:pPr>
              <w:pStyle w:val="Table"/>
            </w:pPr>
            <w:r>
              <w:t>2,3</w:t>
            </w:r>
          </w:p>
        </w:tc>
        <w:tc>
          <w:tcPr>
            <w:tcW w:w="592" w:type="dxa"/>
          </w:tcPr>
          <w:p w14:paraId="3D99586A" w14:textId="49BB8045" w:rsidR="001307EA" w:rsidRPr="004F6FA4" w:rsidRDefault="00515BA5" w:rsidP="001307EA">
            <w:pPr>
              <w:pStyle w:val="Table"/>
            </w:pPr>
            <w:r>
              <w:t>Strategic, t</w:t>
            </w:r>
            <w:r w:rsidRPr="004F6FA4">
              <w:t>actical,</w:t>
            </w:r>
            <w:r>
              <w:t xml:space="preserve"> and operational</w:t>
            </w:r>
          </w:p>
        </w:tc>
        <w:tc>
          <w:tcPr>
            <w:tcW w:w="602" w:type="dxa"/>
          </w:tcPr>
          <w:p w14:paraId="3EE1BB64" w14:textId="6D3169AD" w:rsidR="001307EA" w:rsidRDefault="00515BA5" w:rsidP="001307EA">
            <w:pPr>
              <w:pStyle w:val="Table"/>
            </w:pPr>
            <w:r>
              <w:t>*</w:t>
            </w:r>
          </w:p>
        </w:tc>
        <w:tc>
          <w:tcPr>
            <w:tcW w:w="691" w:type="dxa"/>
          </w:tcPr>
          <w:p w14:paraId="74DEBFD8" w14:textId="1BB014C0" w:rsidR="001307EA" w:rsidRDefault="00515BA5" w:rsidP="001307EA">
            <w:pPr>
              <w:pStyle w:val="Table"/>
            </w:pPr>
            <w:r>
              <w:t>*</w:t>
            </w:r>
          </w:p>
        </w:tc>
      </w:tr>
      <w:tr w:rsidR="00AD4EB9" w:rsidRPr="00106C79" w14:paraId="284163A5" w14:textId="77777777" w:rsidTr="00AD4EB9">
        <w:trPr>
          <w:jc w:val="center"/>
        </w:trPr>
        <w:tc>
          <w:tcPr>
            <w:tcW w:w="842" w:type="dxa"/>
          </w:tcPr>
          <w:p w14:paraId="4CE7C898" w14:textId="77777777" w:rsidR="00AD4EB9" w:rsidRPr="004F6FA4" w:rsidRDefault="00AD4EB9" w:rsidP="004F6FA4">
            <w:pPr>
              <w:pStyle w:val="Table"/>
            </w:pPr>
            <w:r w:rsidRPr="004F6FA4">
              <w:t>Current work</w:t>
            </w:r>
          </w:p>
        </w:tc>
        <w:tc>
          <w:tcPr>
            <w:tcW w:w="503" w:type="dxa"/>
          </w:tcPr>
          <w:p w14:paraId="73075378" w14:textId="77777777" w:rsidR="00AD4EB9" w:rsidRPr="004F6FA4" w:rsidRDefault="00AD4EB9" w:rsidP="004F6FA4">
            <w:pPr>
              <w:pStyle w:val="Table"/>
            </w:pPr>
            <w:r w:rsidRPr="004F6FA4">
              <w:t>Multi</w:t>
            </w:r>
          </w:p>
        </w:tc>
        <w:tc>
          <w:tcPr>
            <w:tcW w:w="900" w:type="dxa"/>
          </w:tcPr>
          <w:p w14:paraId="7B1A2424" w14:textId="77777777" w:rsidR="00AD4EB9" w:rsidRPr="004F6FA4" w:rsidRDefault="00AD4EB9" w:rsidP="004F6FA4">
            <w:pPr>
              <w:pStyle w:val="Table"/>
            </w:pPr>
            <w:r w:rsidRPr="004F6FA4">
              <w:t>Multi</w:t>
            </w:r>
          </w:p>
        </w:tc>
        <w:tc>
          <w:tcPr>
            <w:tcW w:w="630" w:type="dxa"/>
          </w:tcPr>
          <w:p w14:paraId="34E97B87" w14:textId="77777777" w:rsidR="00AD4EB9" w:rsidRPr="004F6FA4" w:rsidRDefault="00AD4EB9" w:rsidP="004F6FA4">
            <w:pPr>
              <w:pStyle w:val="Table"/>
            </w:pPr>
            <w:r w:rsidRPr="004F6FA4">
              <w:t>Yes</w:t>
            </w:r>
          </w:p>
        </w:tc>
        <w:tc>
          <w:tcPr>
            <w:tcW w:w="720" w:type="dxa"/>
          </w:tcPr>
          <w:p w14:paraId="7C34CD05" w14:textId="77777777" w:rsidR="00AD4EB9" w:rsidRPr="004F6FA4" w:rsidRDefault="00AD4EB9" w:rsidP="004F6FA4">
            <w:pPr>
              <w:pStyle w:val="Table"/>
            </w:pPr>
            <w:r w:rsidRPr="004F6FA4">
              <w:t>*</w:t>
            </w:r>
          </w:p>
        </w:tc>
        <w:tc>
          <w:tcPr>
            <w:tcW w:w="782" w:type="dxa"/>
          </w:tcPr>
          <w:p w14:paraId="6D0CA9FA" w14:textId="3F6EF94C" w:rsidR="00AD4EB9" w:rsidRPr="004F6FA4" w:rsidRDefault="00AD4EB9" w:rsidP="004F6FA4">
            <w:pPr>
              <w:pStyle w:val="Table"/>
            </w:pPr>
          </w:p>
        </w:tc>
        <w:tc>
          <w:tcPr>
            <w:tcW w:w="1514" w:type="dxa"/>
          </w:tcPr>
          <w:p w14:paraId="19E1D7C1" w14:textId="77777777" w:rsidR="00AD4EB9" w:rsidRPr="004F6FA4" w:rsidRDefault="00AD4EB9" w:rsidP="004F6FA4">
            <w:pPr>
              <w:pStyle w:val="Table"/>
            </w:pPr>
          </w:p>
        </w:tc>
        <w:tc>
          <w:tcPr>
            <w:tcW w:w="986" w:type="dxa"/>
          </w:tcPr>
          <w:p w14:paraId="081ECB60" w14:textId="77777777" w:rsidR="00AD4EB9" w:rsidRPr="004F6FA4" w:rsidRDefault="00AD4EB9" w:rsidP="004F6FA4">
            <w:pPr>
              <w:pStyle w:val="Table"/>
            </w:pPr>
          </w:p>
        </w:tc>
        <w:tc>
          <w:tcPr>
            <w:tcW w:w="588" w:type="dxa"/>
          </w:tcPr>
          <w:p w14:paraId="41C805F8" w14:textId="77777777" w:rsidR="00AD4EB9" w:rsidRPr="004F6FA4" w:rsidRDefault="00AD4EB9" w:rsidP="004F6FA4">
            <w:pPr>
              <w:pStyle w:val="Table"/>
            </w:pPr>
            <w:r w:rsidRPr="004F6FA4">
              <w:t>1</w:t>
            </w:r>
          </w:p>
        </w:tc>
        <w:tc>
          <w:tcPr>
            <w:tcW w:w="592" w:type="dxa"/>
          </w:tcPr>
          <w:p w14:paraId="3199D7A2" w14:textId="77777777" w:rsidR="00AD4EB9" w:rsidRPr="004F6FA4" w:rsidRDefault="00AD4EB9" w:rsidP="004F6FA4">
            <w:pPr>
              <w:pStyle w:val="Table"/>
            </w:pPr>
            <w:r w:rsidRPr="004F6FA4">
              <w:t>Tactical</w:t>
            </w:r>
          </w:p>
        </w:tc>
        <w:tc>
          <w:tcPr>
            <w:tcW w:w="602" w:type="dxa"/>
          </w:tcPr>
          <w:p w14:paraId="75F221D6" w14:textId="77777777" w:rsidR="00AD4EB9" w:rsidRPr="004F6FA4" w:rsidRDefault="00AD4EB9" w:rsidP="004F6FA4">
            <w:pPr>
              <w:pStyle w:val="Table"/>
            </w:pPr>
          </w:p>
        </w:tc>
        <w:tc>
          <w:tcPr>
            <w:tcW w:w="691" w:type="dxa"/>
          </w:tcPr>
          <w:p w14:paraId="65091397" w14:textId="77777777" w:rsidR="00AD4EB9" w:rsidRPr="004F6FA4" w:rsidRDefault="00AD4EB9" w:rsidP="004F6FA4">
            <w:pPr>
              <w:pStyle w:val="Table"/>
            </w:pPr>
            <w:r w:rsidRPr="004F6FA4">
              <w:t>Allocation</w:t>
            </w:r>
          </w:p>
        </w:tc>
      </w:tr>
      <w:tr w:rsidR="00AD4EB9" w:rsidRPr="00106C79" w14:paraId="7C9A344C" w14:textId="77777777" w:rsidTr="00AD4EB9">
        <w:trPr>
          <w:jc w:val="center"/>
        </w:trPr>
        <w:tc>
          <w:tcPr>
            <w:tcW w:w="842" w:type="dxa"/>
          </w:tcPr>
          <w:p w14:paraId="6F9877F9" w14:textId="77777777" w:rsidR="00AD4EB9" w:rsidRPr="004F6FA4" w:rsidRDefault="00AD4EB9" w:rsidP="004F6FA4">
            <w:pPr>
              <w:pStyle w:val="Table"/>
            </w:pPr>
            <w:r w:rsidRPr="004F6FA4">
              <w:t>Future work</w:t>
            </w:r>
          </w:p>
        </w:tc>
        <w:tc>
          <w:tcPr>
            <w:tcW w:w="503" w:type="dxa"/>
          </w:tcPr>
          <w:p w14:paraId="473F6CCA" w14:textId="77777777" w:rsidR="00AD4EB9" w:rsidRPr="004F6FA4" w:rsidRDefault="00AD4EB9" w:rsidP="004F6FA4">
            <w:pPr>
              <w:pStyle w:val="Table"/>
            </w:pPr>
          </w:p>
        </w:tc>
        <w:tc>
          <w:tcPr>
            <w:tcW w:w="900" w:type="dxa"/>
          </w:tcPr>
          <w:p w14:paraId="673D596C" w14:textId="77777777" w:rsidR="00AD4EB9" w:rsidRPr="004F6FA4" w:rsidRDefault="00AD4EB9" w:rsidP="004F6FA4">
            <w:pPr>
              <w:pStyle w:val="Table"/>
            </w:pPr>
          </w:p>
        </w:tc>
        <w:tc>
          <w:tcPr>
            <w:tcW w:w="630" w:type="dxa"/>
          </w:tcPr>
          <w:p w14:paraId="379C6E7C" w14:textId="77777777" w:rsidR="00AD4EB9" w:rsidRPr="004F6FA4" w:rsidRDefault="00AD4EB9" w:rsidP="004F6FA4">
            <w:pPr>
              <w:pStyle w:val="Table"/>
            </w:pPr>
          </w:p>
        </w:tc>
        <w:tc>
          <w:tcPr>
            <w:tcW w:w="720" w:type="dxa"/>
          </w:tcPr>
          <w:p w14:paraId="07475441" w14:textId="77777777" w:rsidR="00AD4EB9" w:rsidRPr="004F6FA4" w:rsidRDefault="00AD4EB9" w:rsidP="004F6FA4">
            <w:pPr>
              <w:pStyle w:val="Table"/>
            </w:pPr>
          </w:p>
        </w:tc>
        <w:tc>
          <w:tcPr>
            <w:tcW w:w="782" w:type="dxa"/>
          </w:tcPr>
          <w:p w14:paraId="55AB8660" w14:textId="0B9DDDBC" w:rsidR="00AD4EB9" w:rsidRPr="004F6FA4" w:rsidRDefault="00AD4EB9" w:rsidP="004F6FA4">
            <w:pPr>
              <w:pStyle w:val="Table"/>
            </w:pPr>
          </w:p>
        </w:tc>
        <w:tc>
          <w:tcPr>
            <w:tcW w:w="1514" w:type="dxa"/>
          </w:tcPr>
          <w:p w14:paraId="304EFF05" w14:textId="77777777" w:rsidR="00AD4EB9" w:rsidRPr="004F6FA4" w:rsidRDefault="00AD4EB9" w:rsidP="004F6FA4">
            <w:pPr>
              <w:pStyle w:val="Table"/>
            </w:pPr>
          </w:p>
        </w:tc>
        <w:tc>
          <w:tcPr>
            <w:tcW w:w="986" w:type="dxa"/>
          </w:tcPr>
          <w:p w14:paraId="619A3D1A" w14:textId="77777777" w:rsidR="00AD4EB9" w:rsidRPr="004F6FA4" w:rsidRDefault="00AD4EB9" w:rsidP="004F6FA4">
            <w:pPr>
              <w:pStyle w:val="Table"/>
            </w:pPr>
          </w:p>
        </w:tc>
        <w:tc>
          <w:tcPr>
            <w:tcW w:w="588" w:type="dxa"/>
          </w:tcPr>
          <w:p w14:paraId="2FD58C2D" w14:textId="77777777" w:rsidR="00AD4EB9" w:rsidRPr="004F6FA4" w:rsidRDefault="00AD4EB9" w:rsidP="004F6FA4">
            <w:pPr>
              <w:pStyle w:val="Table"/>
            </w:pPr>
            <w:r w:rsidRPr="004F6FA4">
              <w:t>1,2,3</w:t>
            </w:r>
          </w:p>
        </w:tc>
        <w:tc>
          <w:tcPr>
            <w:tcW w:w="592" w:type="dxa"/>
          </w:tcPr>
          <w:p w14:paraId="2E6F5804" w14:textId="77777777" w:rsidR="00AD4EB9" w:rsidRPr="004F6FA4" w:rsidRDefault="00AD4EB9" w:rsidP="004F6FA4">
            <w:pPr>
              <w:pStyle w:val="Table"/>
            </w:pPr>
            <w:r w:rsidRPr="004F6FA4">
              <w:t>Tactical and strategic</w:t>
            </w:r>
          </w:p>
        </w:tc>
        <w:tc>
          <w:tcPr>
            <w:tcW w:w="602" w:type="dxa"/>
          </w:tcPr>
          <w:p w14:paraId="009057BD" w14:textId="77777777" w:rsidR="00AD4EB9" w:rsidRPr="004F6FA4" w:rsidRDefault="00AD4EB9" w:rsidP="004F6FA4">
            <w:pPr>
              <w:pStyle w:val="Table"/>
            </w:pPr>
          </w:p>
        </w:tc>
        <w:tc>
          <w:tcPr>
            <w:tcW w:w="691" w:type="dxa"/>
          </w:tcPr>
          <w:p w14:paraId="3C82AFAC" w14:textId="77777777" w:rsidR="00AD4EB9" w:rsidRPr="004F6FA4" w:rsidRDefault="00AD4EB9" w:rsidP="004F6FA4">
            <w:pPr>
              <w:pStyle w:val="Table"/>
            </w:pPr>
            <w:r w:rsidRPr="004F6FA4">
              <w:t>Location, Allocation</w:t>
            </w:r>
          </w:p>
        </w:tc>
      </w:tr>
    </w:tbl>
    <w:p w14:paraId="42D5329B" w14:textId="77777777" w:rsidR="002850F7" w:rsidRDefault="002850F7" w:rsidP="002850F7">
      <w:pPr>
        <w:pStyle w:val="Default"/>
      </w:pPr>
      <w:r>
        <w:t>Strategic: Location, network design</w:t>
      </w:r>
    </w:p>
    <w:p w14:paraId="08034CD6" w14:textId="77777777" w:rsidR="002850F7" w:rsidRDefault="002850F7" w:rsidP="002850F7">
      <w:pPr>
        <w:pStyle w:val="Default"/>
      </w:pPr>
      <w:r>
        <w:t>Tactical: allocation, inventory management</w:t>
      </w:r>
    </w:p>
    <w:p w14:paraId="01A77022" w14:textId="77777777" w:rsidR="002850F7" w:rsidRDefault="002850F7" w:rsidP="002850F7">
      <w:pPr>
        <w:pStyle w:val="Default"/>
      </w:pPr>
      <w:r>
        <w:t>Operational: Daily</w:t>
      </w:r>
      <w:r>
        <w:rPr>
          <w:rFonts w:hint="cs"/>
          <w:rtl/>
        </w:rPr>
        <w:t xml:space="preserve"> </w:t>
      </w:r>
      <w:r>
        <w:t xml:space="preserve">Scheduling, </w:t>
      </w:r>
      <w:r w:rsidRPr="00A60CFB">
        <w:t>Administration</w:t>
      </w:r>
    </w:p>
    <w:p w14:paraId="0F857948" w14:textId="77777777" w:rsidR="002850F7" w:rsidRDefault="002850F7" w:rsidP="002850F7">
      <w:pPr>
        <w:pStyle w:val="Default"/>
      </w:pPr>
    </w:p>
    <w:p w14:paraId="2E4D8D96" w14:textId="6691619E" w:rsidR="00781435" w:rsidRPr="00781435" w:rsidRDefault="00290DC8" w:rsidP="002850F7">
      <w:pPr>
        <w:pStyle w:val="Default"/>
        <w:rPr>
          <w:b/>
          <w:bCs/>
          <w:color w:val="000000" w:themeColor="text1"/>
        </w:rPr>
      </w:pPr>
      <w:r>
        <w:rPr>
          <w:b/>
          <w:bCs/>
          <w:color w:val="000000" w:themeColor="text1"/>
        </w:rPr>
        <w:t xml:space="preserve">[Our contribution]: </w:t>
      </w:r>
      <w:r w:rsidR="00062ED2" w:rsidRPr="00290DC8">
        <w:rPr>
          <w:color w:val="000000" w:themeColor="text1"/>
        </w:rPr>
        <w:t>Incorporate vaccine hesitancy and social vulnerability index in the model and comparing different social equity theories.</w:t>
      </w:r>
    </w:p>
    <w:p w14:paraId="100C4522" w14:textId="373AB5C5" w:rsidR="005B2684" w:rsidRDefault="005B2684" w:rsidP="00860F5E">
      <w:pPr>
        <w:pStyle w:val="Heading1"/>
      </w:pPr>
      <w:r w:rsidRPr="005B2684">
        <w:t>Math Model</w:t>
      </w:r>
    </w:p>
    <w:p w14:paraId="051A326D" w14:textId="77777777" w:rsidR="002F2C87" w:rsidRDefault="002F2C87" w:rsidP="003E2809">
      <w:pPr>
        <w:spacing w:before="0" w:after="0"/>
      </w:pPr>
    </w:p>
    <w:p w14:paraId="51F29BB1" w14:textId="77777777" w:rsidR="005B2684" w:rsidRDefault="005B2684" w:rsidP="003E2809">
      <w:pPr>
        <w:spacing w:before="0" w:after="0"/>
      </w:pPr>
    </w:p>
    <w:p w14:paraId="5759DD15" w14:textId="77777777" w:rsidR="00612EFF" w:rsidRDefault="00612EFF" w:rsidP="003E2809">
      <w:pPr>
        <w:spacing w:before="0" w:after="0"/>
      </w:pPr>
    </w:p>
    <w:tbl>
      <w:tblPr>
        <w:tblStyle w:val="TableGrid"/>
        <w:tblW w:w="0" w:type="auto"/>
        <w:tblLook w:val="04A0" w:firstRow="1" w:lastRow="0" w:firstColumn="1" w:lastColumn="0" w:noHBand="0" w:noVBand="1"/>
      </w:tblPr>
      <w:tblGrid>
        <w:gridCol w:w="3235"/>
        <w:gridCol w:w="6115"/>
      </w:tblGrid>
      <w:tr w:rsidR="00D51439" w14:paraId="17FDBEBA" w14:textId="77777777" w:rsidTr="00290DC8">
        <w:trPr>
          <w:trHeight w:val="20"/>
        </w:trPr>
        <w:tc>
          <w:tcPr>
            <w:tcW w:w="3235" w:type="dxa"/>
            <w:vAlign w:val="center"/>
          </w:tcPr>
          <w:p w14:paraId="6A66C447" w14:textId="77777777" w:rsidR="00D51439" w:rsidRPr="00DC2D20" w:rsidRDefault="00D51439" w:rsidP="003E2809">
            <w:pPr>
              <w:spacing w:before="0" w:after="0"/>
              <w:rPr>
                <w:b/>
                <w:bCs/>
              </w:rPr>
            </w:pPr>
            <w:r w:rsidRPr="00DC2D20">
              <w:rPr>
                <w:b/>
                <w:bCs/>
              </w:rPr>
              <w:t>Parameters</w:t>
            </w:r>
          </w:p>
        </w:tc>
        <w:tc>
          <w:tcPr>
            <w:tcW w:w="6115" w:type="dxa"/>
            <w:vAlign w:val="center"/>
          </w:tcPr>
          <w:p w14:paraId="0384C81D" w14:textId="77777777" w:rsidR="00D51439" w:rsidRDefault="00D51439" w:rsidP="003E2809">
            <w:pPr>
              <w:spacing w:before="0" w:after="0"/>
            </w:pPr>
          </w:p>
        </w:tc>
      </w:tr>
      <w:tr w:rsidR="00D51439" w:rsidRPr="00AA644C" w14:paraId="5CDDE4A7" w14:textId="77777777" w:rsidTr="00290DC8">
        <w:trPr>
          <w:trHeight w:val="20"/>
        </w:trPr>
        <w:tc>
          <w:tcPr>
            <w:tcW w:w="3235" w:type="dxa"/>
            <w:vAlign w:val="center"/>
          </w:tcPr>
          <w:p w14:paraId="7C8AB644" w14:textId="2F84115A" w:rsidR="00D51439" w:rsidRPr="00FF50E5" w:rsidRDefault="00000000" w:rsidP="003E2809">
            <w:pPr>
              <w:spacing w:before="0" w:after="0"/>
              <w:rPr>
                <w:rFonts w:ascii="Calibri" w:eastAsia="Calibri" w:hAnsi="Calibri" w:cs="Arial"/>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k</m:t>
                    </m:r>
                  </m:sub>
                </m:sSub>
              </m:oMath>
            </m:oMathPara>
          </w:p>
        </w:tc>
        <w:tc>
          <w:tcPr>
            <w:tcW w:w="6115" w:type="dxa"/>
            <w:vAlign w:val="center"/>
          </w:tcPr>
          <w:p w14:paraId="707F4097" w14:textId="283A33F5" w:rsidR="00D51439" w:rsidRDefault="00D51439" w:rsidP="00290DC8">
            <w:pPr>
              <w:spacing w:before="0" w:after="0"/>
              <w:jc w:val="left"/>
            </w:pPr>
            <w:r>
              <w:t xml:space="preserve">Initial eligible population in county </w:t>
            </w:r>
            <m:oMath>
              <m:r>
                <w:rPr>
                  <w:rFonts w:ascii="Cambria Math" w:hAnsi="Cambria Math"/>
                </w:rPr>
                <m:t>k.</m:t>
              </m:r>
            </m:oMath>
          </w:p>
        </w:tc>
      </w:tr>
      <w:tr w:rsidR="00D51439" w:rsidRPr="00AA644C" w14:paraId="3E48CC84" w14:textId="77777777" w:rsidTr="00290DC8">
        <w:trPr>
          <w:trHeight w:val="20"/>
        </w:trPr>
        <w:tc>
          <w:tcPr>
            <w:tcW w:w="3235" w:type="dxa"/>
            <w:vAlign w:val="center"/>
          </w:tcPr>
          <w:p w14:paraId="4799C7FD" w14:textId="22B02593" w:rsidR="00D51439" w:rsidRPr="0065001A" w:rsidRDefault="00000000" w:rsidP="003E2809">
            <w:pPr>
              <w:spacing w:before="0" w:after="0"/>
              <w:rPr>
                <w:rFonts w:ascii="Calibri" w:eastAsia="Calibri" w:hAnsi="Calibri" w:cs="Arial"/>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kt</m:t>
                    </m:r>
                  </m:sub>
                </m:sSub>
              </m:oMath>
            </m:oMathPara>
          </w:p>
        </w:tc>
        <w:tc>
          <w:tcPr>
            <w:tcW w:w="6115" w:type="dxa"/>
            <w:vAlign w:val="center"/>
          </w:tcPr>
          <w:p w14:paraId="719A0F45" w14:textId="2CE60B68" w:rsidR="00D51439" w:rsidRDefault="00D51439" w:rsidP="00290DC8">
            <w:pPr>
              <w:spacing w:before="0" w:after="0"/>
              <w:jc w:val="left"/>
            </w:pPr>
            <w:r>
              <w:t xml:space="preserve">The new population that become eligible for vaccination in county </w:t>
            </w:r>
            <m:oMath>
              <m:r>
                <w:rPr>
                  <w:rFonts w:ascii="Cambria Math" w:hAnsi="Cambria Math"/>
                </w:rPr>
                <m:t>k</m:t>
              </m:r>
            </m:oMath>
            <w:r>
              <w:rPr>
                <w:rFonts w:eastAsiaTheme="minorEastAsia"/>
              </w:rPr>
              <w:t xml:space="preserve"> during week </w:t>
            </w:r>
            <m:oMath>
              <m:r>
                <w:rPr>
                  <w:rFonts w:ascii="Cambria Math" w:eastAsiaTheme="minorEastAsia" w:hAnsi="Cambria Math"/>
                </w:rPr>
                <m:t>t</m:t>
              </m:r>
            </m:oMath>
            <w:r>
              <w:rPr>
                <w:rFonts w:eastAsiaTheme="minorEastAsia"/>
              </w:rPr>
              <w:t>.</w:t>
            </w:r>
          </w:p>
        </w:tc>
      </w:tr>
      <w:tr w:rsidR="00D51439" w:rsidRPr="00AA644C" w14:paraId="2FB5E6EC" w14:textId="77777777" w:rsidTr="00290DC8">
        <w:trPr>
          <w:trHeight w:val="20"/>
        </w:trPr>
        <w:tc>
          <w:tcPr>
            <w:tcW w:w="3235" w:type="dxa"/>
            <w:vAlign w:val="center"/>
          </w:tcPr>
          <w:p w14:paraId="09DAC6F0" w14:textId="6F870C08" w:rsidR="00D51439" w:rsidRPr="00CE1253" w:rsidRDefault="00000000" w:rsidP="003E2809">
            <w:pPr>
              <w:spacing w:before="0" w:after="0"/>
              <w:rPr>
                <w:rFonts w:ascii="Calibri" w:eastAsia="Calibri" w:hAnsi="Calibri" w:cs="Arial"/>
              </w:rPr>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kt</m:t>
                    </m:r>
                  </m:sub>
                </m:sSub>
              </m:oMath>
            </m:oMathPara>
          </w:p>
        </w:tc>
        <w:tc>
          <w:tcPr>
            <w:tcW w:w="6115" w:type="dxa"/>
            <w:vAlign w:val="center"/>
          </w:tcPr>
          <w:p w14:paraId="290E96A4" w14:textId="485B49A6" w:rsidR="00D51439" w:rsidRPr="00AA644C" w:rsidRDefault="00D51439" w:rsidP="00290DC8">
            <w:pPr>
              <w:spacing w:before="0" w:after="0"/>
              <w:jc w:val="left"/>
            </w:pPr>
            <w:r>
              <w:t xml:space="preserve">Hesitancy rate of population in county </w:t>
            </w:r>
            <m:oMath>
              <m:r>
                <w:rPr>
                  <w:rFonts w:ascii="Cambria Math" w:hAnsi="Cambria Math"/>
                </w:rPr>
                <m:t>k</m:t>
              </m:r>
            </m:oMath>
            <w:r>
              <w:rPr>
                <w:rFonts w:eastAsiaTheme="minorEastAsia"/>
              </w:rPr>
              <w:t xml:space="preserve"> during week </w:t>
            </w:r>
            <m:oMath>
              <m:r>
                <w:rPr>
                  <w:rFonts w:ascii="Cambria Math" w:eastAsiaTheme="minorEastAsia" w:hAnsi="Cambria Math"/>
                </w:rPr>
                <m:t>t</m:t>
              </m:r>
            </m:oMath>
          </w:p>
        </w:tc>
      </w:tr>
      <w:tr w:rsidR="00D51439" w:rsidRPr="00AA644C" w14:paraId="2BF4A09A" w14:textId="77777777" w:rsidTr="00290DC8">
        <w:trPr>
          <w:trHeight w:val="20"/>
        </w:trPr>
        <w:tc>
          <w:tcPr>
            <w:tcW w:w="3235" w:type="dxa"/>
            <w:vAlign w:val="center"/>
          </w:tcPr>
          <w:p w14:paraId="7068C14D" w14:textId="4AE98991" w:rsidR="00D51439" w:rsidRPr="00DC1FF3" w:rsidRDefault="00000000" w:rsidP="003E2809">
            <w:pPr>
              <w:spacing w:before="0" w:after="0"/>
            </w:pPr>
            <m:oMath>
              <m:sSub>
                <m:sSubPr>
                  <m:ctrlPr>
                    <w:rPr>
                      <w:rFonts w:ascii="Cambria Math" w:hAnsi="Cambria Math"/>
                      <w:i/>
                    </w:rPr>
                  </m:ctrlPr>
                </m:sSubPr>
                <m:e>
                  <m:r>
                    <w:rPr>
                      <w:rFonts w:ascii="Cambria Math" w:hAnsi="Cambria Math"/>
                    </w:rPr>
                    <m:t>C</m:t>
                  </m:r>
                </m:e>
                <m:sub>
                  <m:r>
                    <w:rPr>
                      <w:rFonts w:ascii="Cambria Math" w:hAnsi="Cambria Math"/>
                    </w:rPr>
                    <m:t>k</m:t>
                  </m:r>
                </m:sub>
              </m:sSub>
            </m:oMath>
            <w:r w:rsidR="00D51439">
              <w:t xml:space="preserve"> </w:t>
            </w:r>
            <w:r w:rsidR="00711899">
              <w:t xml:space="preserve">90 </w:t>
            </w:r>
            <w:r w:rsidR="00DD3378">
              <w:t>percentiles</w:t>
            </w:r>
          </w:p>
        </w:tc>
        <w:tc>
          <w:tcPr>
            <w:tcW w:w="6115" w:type="dxa"/>
            <w:vAlign w:val="center"/>
          </w:tcPr>
          <w:p w14:paraId="7DCC9171" w14:textId="3FB67BA1" w:rsidR="00D51439" w:rsidRPr="00AA644C" w:rsidRDefault="00D51439" w:rsidP="00290DC8">
            <w:pPr>
              <w:spacing w:before="0" w:after="0"/>
              <w:jc w:val="left"/>
            </w:pPr>
            <w:r>
              <w:t xml:space="preserve">Vaccination capacity of vaccine type </w:t>
            </w:r>
            <m:oMath>
              <m:r>
                <w:rPr>
                  <w:rFonts w:ascii="Cambria Math" w:hAnsi="Cambria Math"/>
                </w:rPr>
                <m:t>i</m:t>
              </m:r>
            </m:oMath>
            <w:r>
              <w:rPr>
                <w:rFonts w:eastAsiaTheme="minorEastAsia"/>
              </w:rPr>
              <w:t xml:space="preserve"> in county </w:t>
            </w:r>
            <m:oMath>
              <m:r>
                <w:rPr>
                  <w:rFonts w:ascii="Cambria Math" w:eastAsiaTheme="minorEastAsia" w:hAnsi="Cambria Math"/>
                </w:rPr>
                <m:t>k</m:t>
              </m:r>
            </m:oMath>
            <w:r>
              <w:rPr>
                <w:rFonts w:eastAsiaTheme="minorEastAsia"/>
              </w:rPr>
              <w:t xml:space="preserve"> during week </w:t>
            </w:r>
            <m:oMath>
              <m:r>
                <w:rPr>
                  <w:rFonts w:ascii="Cambria Math" w:eastAsiaTheme="minorEastAsia" w:hAnsi="Cambria Math"/>
                </w:rPr>
                <m:t>t</m:t>
              </m:r>
            </m:oMath>
          </w:p>
        </w:tc>
      </w:tr>
      <w:tr w:rsidR="00D51439" w:rsidRPr="00AA644C" w14:paraId="4F2AA685" w14:textId="77777777" w:rsidTr="00290DC8">
        <w:trPr>
          <w:trHeight w:val="20"/>
        </w:trPr>
        <w:tc>
          <w:tcPr>
            <w:tcW w:w="3235" w:type="dxa"/>
            <w:vAlign w:val="center"/>
          </w:tcPr>
          <w:p w14:paraId="62C1F3DB" w14:textId="438FFDBE" w:rsidR="00D51439" w:rsidRPr="00DC1FF3" w:rsidRDefault="00000000" w:rsidP="003E2809">
            <w:pPr>
              <w:spacing w:before="0" w:after="0"/>
              <w:rPr>
                <w:rFonts w:ascii="Cambria" w:hAnsi="Cambria"/>
              </w:rPr>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t</m:t>
                    </m:r>
                  </m:sub>
                </m:sSub>
              </m:oMath>
            </m:oMathPara>
          </w:p>
        </w:tc>
        <w:tc>
          <w:tcPr>
            <w:tcW w:w="6115" w:type="dxa"/>
            <w:vAlign w:val="center"/>
          </w:tcPr>
          <w:p w14:paraId="45B51670" w14:textId="7E30CAA1" w:rsidR="00D51439" w:rsidRPr="00AA644C" w:rsidRDefault="00D51439" w:rsidP="00290DC8">
            <w:pPr>
              <w:spacing w:before="0" w:after="0"/>
              <w:jc w:val="left"/>
            </w:pPr>
            <w:r>
              <w:t xml:space="preserve">Available </w:t>
            </w:r>
            <w:r w:rsidR="00711899">
              <w:t xml:space="preserve">number of </w:t>
            </w:r>
            <w:r>
              <w:t>vaccine</w:t>
            </w:r>
            <w:r w:rsidR="00711899">
              <w:t>s</w:t>
            </w:r>
            <w:r>
              <w:rPr>
                <w:rFonts w:eastAsiaTheme="minorEastAsia"/>
              </w:rPr>
              <w:t xml:space="preserve"> to be allocated in week </w:t>
            </w:r>
            <m:oMath>
              <m:r>
                <w:rPr>
                  <w:rFonts w:ascii="Cambria Math" w:eastAsiaTheme="minorEastAsia" w:hAnsi="Cambria Math"/>
                </w:rPr>
                <m:t>t</m:t>
              </m:r>
            </m:oMath>
            <w:r>
              <w:rPr>
                <w:rFonts w:eastAsiaTheme="minorEastAsia"/>
              </w:rPr>
              <w:t xml:space="preserve"> </w:t>
            </w:r>
          </w:p>
        </w:tc>
      </w:tr>
      <w:tr w:rsidR="00D51439" w:rsidRPr="00AA644C" w14:paraId="5A89E675" w14:textId="77777777" w:rsidTr="00290DC8">
        <w:trPr>
          <w:trHeight w:val="20"/>
        </w:trPr>
        <w:tc>
          <w:tcPr>
            <w:tcW w:w="3235" w:type="dxa"/>
            <w:vAlign w:val="center"/>
          </w:tcPr>
          <w:p w14:paraId="3243225F" w14:textId="7774FBCC" w:rsidR="00D51439" w:rsidRPr="00126B32" w:rsidRDefault="00000000" w:rsidP="003E2809">
            <w:pPr>
              <w:spacing w:before="0" w:after="0"/>
              <w:rPr>
                <w:rFonts w:ascii="Calibri" w:eastAsia="Calibri" w:hAnsi="Calibri" w:cs="Arial"/>
              </w:rPr>
            </w:pPr>
            <m:oMathPara>
              <m:oMathParaPr>
                <m:jc m:val="left"/>
              </m:oMathParaPr>
              <m:oMath>
                <m:sSub>
                  <m:sSubPr>
                    <m:ctrlPr>
                      <w:rPr>
                        <w:rFonts w:ascii="Cambria Math" w:hAnsi="Cambria Math"/>
                      </w:rPr>
                    </m:ctrlPr>
                  </m:sSubPr>
                  <m:e>
                    <m:r>
                      <w:rPr>
                        <w:rFonts w:ascii="Cambria Math" w:hAnsi="Cambria Math"/>
                      </w:rPr>
                      <m:t>α</m:t>
                    </m:r>
                  </m:e>
                  <m:sub>
                    <m:r>
                      <w:rPr>
                        <w:rFonts w:ascii="Cambria Math" w:hAnsi="Cambria Math"/>
                      </w:rPr>
                      <m:t>k</m:t>
                    </m:r>
                  </m:sub>
                </m:sSub>
              </m:oMath>
            </m:oMathPara>
          </w:p>
        </w:tc>
        <w:tc>
          <w:tcPr>
            <w:tcW w:w="6115" w:type="dxa"/>
            <w:vAlign w:val="center"/>
          </w:tcPr>
          <w:p w14:paraId="548A591F" w14:textId="5F7BC354" w:rsidR="00D51439" w:rsidRDefault="00D51439" w:rsidP="00290DC8">
            <w:pPr>
              <w:spacing w:before="0" w:after="0"/>
              <w:jc w:val="left"/>
            </w:pPr>
            <w:r>
              <w:t xml:space="preserve">Social vulnerability index for county </w:t>
            </w:r>
            <m:oMath>
              <m:r>
                <w:rPr>
                  <w:rFonts w:ascii="Cambria Math" w:hAnsi="Cambria Math"/>
                </w:rPr>
                <m:t>k</m:t>
              </m:r>
            </m:oMath>
          </w:p>
        </w:tc>
      </w:tr>
      <w:tr w:rsidR="00D51439" w:rsidRPr="00AA644C" w14:paraId="7A0971EF" w14:textId="77777777" w:rsidTr="00290DC8">
        <w:trPr>
          <w:trHeight w:val="20"/>
        </w:trPr>
        <w:tc>
          <w:tcPr>
            <w:tcW w:w="3235" w:type="dxa"/>
            <w:vAlign w:val="center"/>
          </w:tcPr>
          <w:p w14:paraId="775AFB6E" w14:textId="77777777" w:rsidR="00D51439" w:rsidRPr="00DC2D20" w:rsidRDefault="00D51439" w:rsidP="003E2809">
            <w:pPr>
              <w:spacing w:before="0" w:after="0"/>
              <w:rPr>
                <w:b/>
                <w:bCs/>
              </w:rPr>
            </w:pPr>
            <w:r w:rsidRPr="00DC2D20">
              <w:rPr>
                <w:b/>
                <w:bCs/>
              </w:rPr>
              <w:t>Decision Variables</w:t>
            </w:r>
          </w:p>
        </w:tc>
        <w:tc>
          <w:tcPr>
            <w:tcW w:w="6115" w:type="dxa"/>
            <w:vAlign w:val="center"/>
          </w:tcPr>
          <w:p w14:paraId="786C9E7F" w14:textId="77777777" w:rsidR="00D51439" w:rsidRPr="00AA644C" w:rsidRDefault="00D51439" w:rsidP="00290DC8">
            <w:pPr>
              <w:spacing w:before="0" w:after="0"/>
              <w:jc w:val="left"/>
            </w:pPr>
          </w:p>
        </w:tc>
      </w:tr>
      <w:tr w:rsidR="00D51439" w:rsidRPr="00AA644C" w14:paraId="28DDAECC" w14:textId="77777777" w:rsidTr="00290DC8">
        <w:trPr>
          <w:trHeight w:val="20"/>
        </w:trPr>
        <w:tc>
          <w:tcPr>
            <w:tcW w:w="3235" w:type="dxa"/>
            <w:vAlign w:val="center"/>
          </w:tcPr>
          <w:p w14:paraId="5764CB25" w14:textId="4D1BC3BC" w:rsidR="00D51439" w:rsidRPr="00DC1FF3" w:rsidRDefault="00000000" w:rsidP="003E2809">
            <w:pPr>
              <w:spacing w:before="0" w:after="0"/>
              <w:rPr>
                <w:rFonts w:ascii="Cambria" w:hAnsi="Cambria"/>
              </w:rP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kt</m:t>
                    </m:r>
                  </m:sub>
                </m:sSub>
              </m:oMath>
            </m:oMathPara>
          </w:p>
        </w:tc>
        <w:tc>
          <w:tcPr>
            <w:tcW w:w="6115" w:type="dxa"/>
            <w:vAlign w:val="center"/>
          </w:tcPr>
          <w:p w14:paraId="50D224E1" w14:textId="71C5D225" w:rsidR="00D51439" w:rsidRPr="00AA644C" w:rsidRDefault="00D51439" w:rsidP="00290DC8">
            <w:pPr>
              <w:spacing w:before="0" w:after="0"/>
              <w:jc w:val="left"/>
            </w:pPr>
            <w:r>
              <w:t xml:space="preserve">Allocated vaccine to county </w:t>
            </w:r>
            <m:oMath>
              <m:r>
                <w:rPr>
                  <w:rFonts w:ascii="Cambria Math" w:hAnsi="Cambria Math"/>
                </w:rPr>
                <m:t>k</m:t>
              </m:r>
            </m:oMath>
            <w:r>
              <w:t xml:space="preserve"> during week </w:t>
            </w:r>
            <m:oMath>
              <m:r>
                <w:rPr>
                  <w:rFonts w:ascii="Cambria Math" w:hAnsi="Cambria Math"/>
                </w:rPr>
                <m:t>t</m:t>
              </m:r>
            </m:oMath>
          </w:p>
        </w:tc>
      </w:tr>
      <w:tr w:rsidR="00D51439" w:rsidRPr="00AA644C" w14:paraId="4A83A06E" w14:textId="77777777" w:rsidTr="00290DC8">
        <w:trPr>
          <w:trHeight w:val="20"/>
        </w:trPr>
        <w:tc>
          <w:tcPr>
            <w:tcW w:w="3235" w:type="dxa"/>
            <w:vAlign w:val="center"/>
          </w:tcPr>
          <w:p w14:paraId="5B878087" w14:textId="77777777" w:rsidR="00D51439" w:rsidRPr="00DC2D20" w:rsidRDefault="00D51439" w:rsidP="003E2809">
            <w:pPr>
              <w:spacing w:before="0" w:after="0"/>
              <w:rPr>
                <w:b/>
                <w:bCs/>
              </w:rPr>
            </w:pPr>
            <w:r w:rsidRPr="00DC2D20">
              <w:rPr>
                <w:b/>
                <w:bCs/>
              </w:rPr>
              <w:t>Auxiliary variable</w:t>
            </w:r>
          </w:p>
        </w:tc>
        <w:tc>
          <w:tcPr>
            <w:tcW w:w="6115" w:type="dxa"/>
            <w:vAlign w:val="center"/>
          </w:tcPr>
          <w:p w14:paraId="785AB2A0" w14:textId="77777777" w:rsidR="00D51439" w:rsidRDefault="00D51439" w:rsidP="00290DC8">
            <w:pPr>
              <w:spacing w:before="0" w:after="0"/>
              <w:jc w:val="left"/>
            </w:pPr>
          </w:p>
        </w:tc>
      </w:tr>
      <w:tr w:rsidR="00D51439" w:rsidRPr="00AA644C" w14:paraId="47233096" w14:textId="77777777" w:rsidTr="00290DC8">
        <w:trPr>
          <w:trHeight w:val="20"/>
        </w:trPr>
        <w:tc>
          <w:tcPr>
            <w:tcW w:w="3235" w:type="dxa"/>
            <w:vAlign w:val="center"/>
          </w:tcPr>
          <w:p w14:paraId="36AE82FD" w14:textId="59AA4EAB" w:rsidR="00D51439" w:rsidRPr="00FF50E5" w:rsidRDefault="00000000" w:rsidP="003E2809">
            <w:pPr>
              <w:spacing w:before="0" w:after="0"/>
              <w:rPr>
                <w:rFonts w:ascii="Calibri" w:eastAsia="Calibri" w:hAnsi="Calibri" w:cs="Arial"/>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kt</m:t>
                    </m:r>
                  </m:sub>
                </m:sSub>
              </m:oMath>
            </m:oMathPara>
          </w:p>
        </w:tc>
        <w:tc>
          <w:tcPr>
            <w:tcW w:w="6115" w:type="dxa"/>
            <w:vAlign w:val="center"/>
          </w:tcPr>
          <w:p w14:paraId="5FE3F462" w14:textId="51EC7820" w:rsidR="00D51439" w:rsidRDefault="00D51439" w:rsidP="00290DC8">
            <w:pPr>
              <w:spacing w:before="0" w:after="0"/>
              <w:jc w:val="left"/>
            </w:pPr>
            <w:r>
              <w:t xml:space="preserve">The unvaccinated and eligible population in county </w:t>
            </w:r>
            <m:oMath>
              <m:r>
                <w:rPr>
                  <w:rFonts w:ascii="Cambria Math" w:hAnsi="Cambria Math"/>
                </w:rPr>
                <m:t>k</m:t>
              </m:r>
            </m:oMath>
            <w:r>
              <w:rPr>
                <w:rFonts w:eastAsiaTheme="minorEastAsia"/>
              </w:rPr>
              <w:t xml:space="preserve"> during week </w:t>
            </w:r>
            <m:oMath>
              <m:r>
                <w:rPr>
                  <w:rFonts w:ascii="Cambria Math" w:eastAsiaTheme="minorEastAsia" w:hAnsi="Cambria Math"/>
                </w:rPr>
                <m:t>t</m:t>
              </m:r>
            </m:oMath>
            <w:r>
              <w:rPr>
                <w:rFonts w:eastAsiaTheme="minorEastAsia"/>
              </w:rPr>
              <w:t xml:space="preserve">. </w:t>
            </w:r>
          </w:p>
        </w:tc>
      </w:tr>
      <w:tr w:rsidR="00D51439" w:rsidRPr="00AA644C" w14:paraId="00058F54" w14:textId="77777777" w:rsidTr="00290DC8">
        <w:trPr>
          <w:trHeight w:val="20"/>
        </w:trPr>
        <w:tc>
          <w:tcPr>
            <w:tcW w:w="3235" w:type="dxa"/>
            <w:vAlign w:val="center"/>
          </w:tcPr>
          <w:p w14:paraId="2C0BD44B" w14:textId="77C936F1" w:rsidR="00D51439" w:rsidRPr="00126B32" w:rsidRDefault="00D51439" w:rsidP="003E2809">
            <w:pPr>
              <w:spacing w:before="0" w:after="0"/>
            </w:pPr>
          </w:p>
        </w:tc>
        <w:tc>
          <w:tcPr>
            <w:tcW w:w="6115" w:type="dxa"/>
            <w:vAlign w:val="center"/>
          </w:tcPr>
          <w:p w14:paraId="5CDC0701" w14:textId="7D4DBB26" w:rsidR="00D51439" w:rsidRPr="00126B32" w:rsidRDefault="00D51439" w:rsidP="00290DC8">
            <w:pPr>
              <w:spacing w:before="0" w:after="0"/>
              <w:jc w:val="left"/>
            </w:pPr>
          </w:p>
        </w:tc>
      </w:tr>
      <w:tr w:rsidR="00D51439" w:rsidRPr="00AA644C" w14:paraId="09813AED" w14:textId="77777777" w:rsidTr="00290DC8">
        <w:trPr>
          <w:trHeight w:val="20"/>
        </w:trPr>
        <w:tc>
          <w:tcPr>
            <w:tcW w:w="3235" w:type="dxa"/>
            <w:vAlign w:val="center"/>
          </w:tcPr>
          <w:p w14:paraId="20732EC3" w14:textId="77777777" w:rsidR="00D51439" w:rsidRPr="00AA644C" w:rsidRDefault="00D51439" w:rsidP="003E2809">
            <w:pPr>
              <w:spacing w:before="0" w:after="0"/>
            </w:pPr>
          </w:p>
        </w:tc>
        <w:tc>
          <w:tcPr>
            <w:tcW w:w="6115" w:type="dxa"/>
            <w:vAlign w:val="center"/>
          </w:tcPr>
          <w:p w14:paraId="7DD5AE00" w14:textId="77777777" w:rsidR="00D51439" w:rsidRDefault="00D51439" w:rsidP="00290DC8">
            <w:pPr>
              <w:spacing w:before="0" w:after="0"/>
              <w:jc w:val="left"/>
            </w:pPr>
          </w:p>
        </w:tc>
      </w:tr>
      <w:tr w:rsidR="00D51439" w:rsidRPr="00AA644C" w14:paraId="2C9DA247" w14:textId="77777777" w:rsidTr="00290DC8">
        <w:trPr>
          <w:trHeight w:val="20"/>
        </w:trPr>
        <w:tc>
          <w:tcPr>
            <w:tcW w:w="3235" w:type="dxa"/>
            <w:vAlign w:val="center"/>
          </w:tcPr>
          <w:p w14:paraId="203CD14C" w14:textId="77777777" w:rsidR="00D51439" w:rsidRPr="00DC2D20" w:rsidRDefault="00D51439" w:rsidP="00DC2D20">
            <w:pPr>
              <w:spacing w:before="0" w:after="0"/>
              <w:jc w:val="left"/>
              <w:rPr>
                <w:b/>
                <w:bCs/>
              </w:rPr>
            </w:pPr>
            <w:r w:rsidRPr="00DC2D20">
              <w:rPr>
                <w:b/>
                <w:bCs/>
              </w:rPr>
              <w:t>Constraints:</w:t>
            </w:r>
          </w:p>
        </w:tc>
        <w:tc>
          <w:tcPr>
            <w:tcW w:w="6115" w:type="dxa"/>
            <w:vAlign w:val="center"/>
          </w:tcPr>
          <w:p w14:paraId="58360D00" w14:textId="77777777" w:rsidR="00D51439" w:rsidRDefault="00D51439" w:rsidP="00290DC8">
            <w:pPr>
              <w:spacing w:before="0" w:after="0"/>
              <w:jc w:val="left"/>
            </w:pPr>
          </w:p>
        </w:tc>
      </w:tr>
      <w:tr w:rsidR="00D51439" w:rsidRPr="00AA644C" w14:paraId="12969B93" w14:textId="77777777" w:rsidTr="00290DC8">
        <w:trPr>
          <w:trHeight w:val="20"/>
        </w:trPr>
        <w:tc>
          <w:tcPr>
            <w:tcW w:w="3235" w:type="dxa"/>
            <w:vAlign w:val="center"/>
          </w:tcPr>
          <w:p w14:paraId="36673923" w14:textId="6F331DBF" w:rsidR="00D51439" w:rsidRPr="006B4B9D" w:rsidRDefault="00D51439" w:rsidP="003E2809">
            <w:pPr>
              <w:spacing w:before="0" w:after="0"/>
            </w:pPr>
          </w:p>
        </w:tc>
        <w:tc>
          <w:tcPr>
            <w:tcW w:w="6115" w:type="dxa"/>
            <w:vAlign w:val="center"/>
          </w:tcPr>
          <w:p w14:paraId="3107C829" w14:textId="112FBB5A" w:rsidR="00D51439" w:rsidRPr="006B4B9D" w:rsidRDefault="00D51439" w:rsidP="00290DC8">
            <w:pPr>
              <w:spacing w:before="0" w:after="0"/>
              <w:jc w:val="left"/>
            </w:pPr>
          </w:p>
        </w:tc>
      </w:tr>
      <w:tr w:rsidR="00D51439" w:rsidRPr="00AA644C" w14:paraId="36EAAF10" w14:textId="77777777" w:rsidTr="00290DC8">
        <w:trPr>
          <w:trHeight w:val="20"/>
        </w:trPr>
        <w:tc>
          <w:tcPr>
            <w:tcW w:w="3235" w:type="dxa"/>
            <w:vAlign w:val="center"/>
          </w:tcPr>
          <w:p w14:paraId="36DAFF3D" w14:textId="1706A3D7" w:rsidR="00D51439" w:rsidRPr="006E418C" w:rsidRDefault="00000000" w:rsidP="003E2809">
            <w:pPr>
              <w:spacing w:before="0" w:after="0"/>
              <w:rPr>
                <w:rFonts w:ascii="Calibri" w:eastAsia="Calibri" w:hAnsi="Calibri" w:cs="Arial"/>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m:t>
                    </m:r>
                  </m:sub>
                </m:sSub>
              </m:oMath>
            </m:oMathPara>
          </w:p>
        </w:tc>
        <w:tc>
          <w:tcPr>
            <w:tcW w:w="6115" w:type="dxa"/>
            <w:vAlign w:val="center"/>
          </w:tcPr>
          <w:p w14:paraId="0A7EA0C7" w14:textId="3D731996" w:rsidR="00D51439" w:rsidRPr="006E418C" w:rsidRDefault="006E418C" w:rsidP="003E2809">
            <w:pPr>
              <w:spacing w:before="0" w:after="0"/>
              <w:rPr>
                <w:rFonts w:ascii="Cambria" w:eastAsia="Calibri" w:hAnsi="Cambria"/>
              </w:rPr>
            </w:pPr>
            <m:oMathPara>
              <m:oMathParaPr>
                <m:jc m:val="left"/>
              </m:oMathParaPr>
              <m:oMath>
                <m:r>
                  <m:rPr>
                    <m:sty m:val="p"/>
                  </m:rPr>
                  <w:rPr>
                    <w:rFonts w:ascii="Cambria Math" w:hAnsi="Cambria Math"/>
                  </w:rPr>
                  <m:t xml:space="preserve">∀  </m:t>
                </m:r>
                <m:r>
                  <w:rPr>
                    <w:rFonts w:ascii="Cambria Math" w:hAnsi="Cambria Math"/>
                  </w:rPr>
                  <m:t>k</m:t>
                </m:r>
              </m:oMath>
            </m:oMathPara>
          </w:p>
        </w:tc>
      </w:tr>
      <w:tr w:rsidR="00D51439" w:rsidRPr="00AA644C" w14:paraId="309A3998" w14:textId="77777777" w:rsidTr="00290DC8">
        <w:trPr>
          <w:trHeight w:val="20"/>
        </w:trPr>
        <w:tc>
          <w:tcPr>
            <w:tcW w:w="3235" w:type="dxa"/>
            <w:vAlign w:val="center"/>
          </w:tcPr>
          <w:p w14:paraId="644AB833" w14:textId="16F4165C" w:rsidR="00D51439" w:rsidRPr="00C91A8D" w:rsidRDefault="00000000" w:rsidP="003E2809">
            <w:pPr>
              <w:spacing w:before="0" w:after="0"/>
              <w:rPr>
                <w:rFonts w:ascii="Cambria" w:eastAsia="Calibri" w:hAnsi="Cambria"/>
              </w:rP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kt</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kt</m:t>
                    </m:r>
                  </m:sub>
                </m:sSub>
              </m:oMath>
            </m:oMathPara>
          </w:p>
        </w:tc>
        <w:tc>
          <w:tcPr>
            <w:tcW w:w="6115" w:type="dxa"/>
            <w:vAlign w:val="center"/>
          </w:tcPr>
          <w:p w14:paraId="21896FFE" w14:textId="120B69F2" w:rsidR="00D51439" w:rsidRPr="00C91A8D" w:rsidRDefault="00D51439" w:rsidP="003E2809">
            <w:pPr>
              <w:spacing w:before="0" w:after="0"/>
              <w:rPr>
                <w:rFonts w:ascii="Cambria" w:hAnsi="Cambria"/>
              </w:rPr>
            </w:pPr>
            <m:oMathPara>
              <m:oMathParaPr>
                <m:jc m:val="left"/>
              </m:oMathParaPr>
              <m:oMath>
                <m:r>
                  <m:rPr>
                    <m:sty m:val="p"/>
                  </m:rPr>
                  <w:rPr>
                    <w:rFonts w:ascii="Cambria Math" w:hAnsi="Cambria Math"/>
                  </w:rPr>
                  <m:t xml:space="preserve">∀ </m:t>
                </m:r>
                <m:r>
                  <w:rPr>
                    <w:rFonts w:ascii="Cambria Math" w:hAnsi="Cambria Math"/>
                  </w:rPr>
                  <m:t>k</m:t>
                </m:r>
                <m:r>
                  <m:rPr>
                    <m:sty m:val="p"/>
                  </m:rPr>
                  <w:rPr>
                    <w:rFonts w:ascii="Cambria Math" w:hAnsi="Cambria Math"/>
                  </w:rPr>
                  <m:t>,</m:t>
                </m:r>
                <m:r>
                  <w:rPr>
                    <w:rFonts w:ascii="Cambria Math" w:hAnsi="Cambria Math"/>
                  </w:rPr>
                  <m:t>t</m:t>
                </m:r>
              </m:oMath>
            </m:oMathPara>
          </w:p>
        </w:tc>
      </w:tr>
      <w:tr w:rsidR="00D51439" w:rsidRPr="00AA644C" w14:paraId="73F9F555" w14:textId="77777777" w:rsidTr="00290DC8">
        <w:trPr>
          <w:trHeight w:val="20"/>
        </w:trPr>
        <w:tc>
          <w:tcPr>
            <w:tcW w:w="3235" w:type="dxa"/>
            <w:vAlign w:val="center"/>
          </w:tcPr>
          <w:p w14:paraId="6BA27B3D" w14:textId="2C96D18B" w:rsidR="00D51439" w:rsidRPr="00C91A8D" w:rsidRDefault="00000000" w:rsidP="003E2809">
            <w:pPr>
              <w:spacing w:before="0" w:after="0"/>
              <w:rPr>
                <w:rFonts w:ascii="Cambria" w:eastAsia="Calibri" w:hAnsi="Cambria"/>
              </w:rP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kt</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m:t>
                    </m:r>
                  </m:sub>
                </m:sSub>
              </m:oMath>
            </m:oMathPara>
          </w:p>
        </w:tc>
        <w:tc>
          <w:tcPr>
            <w:tcW w:w="6115" w:type="dxa"/>
            <w:vAlign w:val="center"/>
          </w:tcPr>
          <w:p w14:paraId="535EB95D" w14:textId="171ABDF5" w:rsidR="00D51439" w:rsidRPr="00C91A8D" w:rsidRDefault="00D51439" w:rsidP="003E2809">
            <w:pPr>
              <w:spacing w:before="0" w:after="0"/>
              <w:rPr>
                <w:rFonts w:ascii="Cambria" w:hAnsi="Cambria"/>
              </w:rPr>
            </w:pPr>
            <m:oMathPara>
              <m:oMathParaPr>
                <m:jc m:val="left"/>
              </m:oMathParaPr>
              <m:oMath>
                <m:r>
                  <m:rPr>
                    <m:sty m:val="p"/>
                  </m:rPr>
                  <w:rPr>
                    <w:rFonts w:ascii="Cambria Math" w:hAnsi="Cambria Math"/>
                  </w:rPr>
                  <m:t xml:space="preserve">∀  </m:t>
                </m:r>
                <m:r>
                  <w:rPr>
                    <w:rFonts w:ascii="Cambria Math" w:hAnsi="Cambria Math"/>
                  </w:rPr>
                  <m:t>k</m:t>
                </m:r>
                <m:r>
                  <m:rPr>
                    <m:sty m:val="p"/>
                  </m:rPr>
                  <w:rPr>
                    <w:rFonts w:ascii="Cambria Math" w:hAnsi="Cambria Math"/>
                  </w:rPr>
                  <m:t>,</m:t>
                </m:r>
                <m:r>
                  <w:rPr>
                    <w:rFonts w:ascii="Cambria Math" w:hAnsi="Cambria Math"/>
                  </w:rPr>
                  <m:t>t</m:t>
                </m:r>
              </m:oMath>
            </m:oMathPara>
          </w:p>
        </w:tc>
      </w:tr>
      <w:tr w:rsidR="00770B3C" w:rsidRPr="00AA644C" w14:paraId="59779472" w14:textId="77777777" w:rsidTr="00290DC8">
        <w:trPr>
          <w:trHeight w:val="20"/>
        </w:trPr>
        <w:tc>
          <w:tcPr>
            <w:tcW w:w="3235" w:type="dxa"/>
            <w:vAlign w:val="center"/>
          </w:tcPr>
          <w:p w14:paraId="7ACEA2B9" w14:textId="734A202E" w:rsidR="00770B3C" w:rsidRPr="00770B3C" w:rsidRDefault="00000000" w:rsidP="003E2809">
            <w:pPr>
              <w:spacing w:before="0" w:after="0"/>
              <w:rPr>
                <w:rFonts w:ascii="Times New Roman" w:eastAsia="Calibri" w:hAnsi="Times New Roman" w:cs="Times New Roman"/>
              </w:rP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kt</m:t>
                    </m:r>
                  </m:sub>
                </m:sSub>
                <m:r>
                  <m:rPr>
                    <m:sty m:val="p"/>
                  </m:rP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kt</m:t>
                    </m:r>
                  </m:sub>
                </m:sSub>
              </m:oMath>
            </m:oMathPara>
          </w:p>
        </w:tc>
        <w:tc>
          <w:tcPr>
            <w:tcW w:w="6115" w:type="dxa"/>
            <w:vAlign w:val="center"/>
          </w:tcPr>
          <w:p w14:paraId="64458120" w14:textId="55301778" w:rsidR="00770B3C" w:rsidRDefault="00770B3C" w:rsidP="003E2809">
            <w:pPr>
              <w:spacing w:before="0" w:after="0"/>
              <w:rPr>
                <w:rFonts w:ascii="Cambria" w:eastAsia="Calibri" w:hAnsi="Cambria" w:cs="Times New Roman"/>
              </w:rPr>
            </w:pPr>
            <m:oMath>
              <m:r>
                <w:rPr>
                  <w:rFonts w:ascii="Cambria Math" w:hAnsi="Cambria Math"/>
                </w:rPr>
                <m:t>φ</m:t>
              </m:r>
            </m:oMath>
            <w:r>
              <w:rPr>
                <w:rFonts w:ascii="Cambria" w:eastAsia="Calibri" w:hAnsi="Cambria" w:cs="Times New Roman"/>
              </w:rPr>
              <w:t xml:space="preserve"> is the minimum threshold. See </w:t>
            </w:r>
            <w:r>
              <w:rPr>
                <w:rFonts w:ascii="Cambria" w:eastAsia="Calibri" w:hAnsi="Cambria" w:cs="Times New Roman"/>
              </w:rPr>
              <w:fldChar w:fldCharType="begin" w:fldLock="1"/>
            </w:r>
            <w:r>
              <w:rPr>
                <w:rFonts w:ascii="Cambria" w:eastAsia="Calibri" w:hAnsi="Cambria" w:cs="Times New Roman"/>
              </w:rPr>
              <w:instrText>ADDIN CSL_CITATION {"citationItems":[{"id":"ITEM-1","itemData":{"DOI":"10.1016/j.seps.2023.101559","ISSN":"00380121","abstract":"This work presents a multi-objective optimization strategy for fair vaccine allocation through different fairness schemes. The proposed approach considers a diverse series of parameters related to different public health data and social behaviors that influence the correct distribution of vaccines, such as corruption and crime. Simultaneously, the formulation includes prioritizing those groups with the highest risk based on the epidemiological traffic light. Furthermore, the presented strategy involves different budget constraints that allow identifying trade-off solutions through Pareto fronts. Therefore, vaccine allocations are obtained by combining fairness concepts with multi-objective optimization. The applicability of the model is illustrated using the case study of Mexico. The solution to the proposed scenarios was carried out using different justice schemes and an economic objective function. The results show the compromises between a satisfaction index and costs, which are shown through Pareto optimal solutions that allow selecting the solutions that balance the objectives. The solutions provided by the social welfare scheme suggest a greater allocation of vaccines to those states with higher epidemiological risk, which may be helpful in the first stage of vaccination. On the other hand, the Rawlsian scheme provides more balanced solutions that can be useful in situations with lower rates of infection. Finally, the Nash scheme is the one that provides the most balanced solutions, favoring to a lesser extent the areas with the highest epidemiological risk, which may be useful in the later stages of vaccination.","author":[{"dropping-particle":"","family":"Ochoa-Barragán","given":"Rogelio","non-dropping-particle":"","parse-names":false,"suffix":""},{"dropping-particle":"","family":"Munguía-López","given":"Aurora del Carmen","non-dropping-particle":"","parse-names":false,"suffix":""},{"dropping-particle":"","family":"Ponce-Ortega","given":"José María","non-dropping-particle":"","parse-names":false,"suffix":""}],"container-title":"Socio-Economic Planning Sciences","id":"ITEM-1","issue":"March","issued":{"date-parts":[["2023"]]},"title":"Strategic planning for the optimal distribution of COVID-19 vaccines","type":"article-journal","volume":"87"},"uris":["http://www.mendeley.com/documents/?uuid=44c85911-2143-4f89-8757-4c46638a4c66"]}],"mendeley":{"formattedCitation":"(Ochoa-Barragán et al., 2023)","plainTextFormattedCitation":"(Ochoa-Barragán et al., 2023)","previouslyFormattedCitation":"(Ochoa-Barragán et al., 2023)"},"properties":{"noteIndex":0},"schema":"https://github.com/citation-style-language/schema/raw/master/csl-citation.json"}</w:instrText>
            </w:r>
            <w:r>
              <w:rPr>
                <w:rFonts w:ascii="Cambria" w:eastAsia="Calibri" w:hAnsi="Cambria" w:cs="Times New Roman"/>
              </w:rPr>
              <w:fldChar w:fldCharType="separate"/>
            </w:r>
            <w:r w:rsidRPr="00770B3C">
              <w:rPr>
                <w:rFonts w:ascii="Cambria" w:eastAsia="Calibri" w:hAnsi="Cambria" w:cs="Times New Roman"/>
                <w:noProof/>
              </w:rPr>
              <w:t>(Ochoa-Barragán et al., 2023)</w:t>
            </w:r>
            <w:r>
              <w:rPr>
                <w:rFonts w:ascii="Cambria" w:eastAsia="Calibri" w:hAnsi="Cambria" w:cs="Times New Roman"/>
              </w:rPr>
              <w:fldChar w:fldCharType="end"/>
            </w:r>
            <w:r>
              <w:rPr>
                <w:rFonts w:ascii="Cambria" w:eastAsia="Calibri" w:hAnsi="Cambria" w:cs="Times New Roman"/>
              </w:rPr>
              <w:t xml:space="preserve"> and </w:t>
            </w:r>
            <w:r w:rsidRPr="00770B3C">
              <w:rPr>
                <w:rFonts w:ascii="Cambria" w:eastAsia="Calibri" w:hAnsi="Cambria" w:cs="Times New Roman"/>
                <w:color w:val="FF0000"/>
              </w:rPr>
              <w:fldChar w:fldCharType="begin" w:fldLock="1"/>
            </w:r>
            <w:r w:rsidR="00C54D7D">
              <w:rPr>
                <w:rFonts w:ascii="Cambria" w:eastAsia="Calibri" w:hAnsi="Cambria" w:cs="Times New Roman"/>
                <w:color w:val="FF0000"/>
              </w:rPr>
              <w:instrText>ADDIN CSL_CITATION {"citationItems":[{"id":"ITEM-1","itemData":{"DOI":"10.1007/S41660-020-00141-8/FIGURES/7","ISSN":"25094246","abstract":"The fair allocation of resources among multiple stakeholders in any area is a complex challenge for decision-making. This paper presents an optimization strategy for the allocation of COVID-19 vaccines, when they are available, through different fairness schemes (social welfare, Nash, Rawlsian justice, and social welfare II scheme). The applicability of the proposed model is illustrated using the case study of Mexico, including the states of the country as stakeholders. We involve several parameters to guide the allocation, such as the size, risk profiles, and fraction of vulnerable groups in the population. Furthermore, different scenarios of the availability of potential COVID-19 vaccines were evaluated. The social welfare approach is the most commonly used scheme for the allocation of resources. However, we demonstrate that this scheme yields non-unique or multiple solutions (through the social welfare II approach). These social welfare approaches provide inequalities in the allocations that become critical when resources are scarce. Specifically, the social welfare scheme favors large stakeholders (greater population) in all scenarios. We also observe how the complexity of the allocation increases with the higher availability of vaccines. Hence, it is relevant to consider allocation schemes to identify fair solutions.","author":[{"dropping-particle":"","family":"Munguía-López","given":"Aurora del Carmen","non-dropping-particle":"","parse-names":false,"suffix":""},{"dropping-particle":"","family":"Ponce-Ortega","given":"José María","non-dropping-particle":"","parse-names":false,"suffix":""}],"container-title":"Process Integration and Optimization for Sustainability","id":"ITEM-1","issue":"1","issued":{"date-parts":[["2021","3","1"]]},"page":"3-12","publisher":"Springer","title":"Fair Allocation of Potential COVID-19 Vaccines Using an Optimization-Based Strategy","type":"article-journal","volume":"5"},"uris":["http://www.mendeley.com/documents/?uuid=b7a81570-56e0-3731-9bdb-49fc8c8a77f9"]}],"mendeley":{"formattedCitation":"(Munguía-López &amp; Ponce-Ortega, 2021)","plainTextFormattedCitation":"(Munguía-López &amp; Ponce-Ortega, 2021)","previouslyFormattedCitation":"(Munguía-López &amp; Ponce-Ortega, 2021)"},"properties":{"noteIndex":0},"schema":"https://github.com/citation-style-language/schema/raw/master/csl-citation.json"}</w:instrText>
            </w:r>
            <w:r w:rsidRPr="00770B3C">
              <w:rPr>
                <w:rFonts w:ascii="Cambria" w:eastAsia="Calibri" w:hAnsi="Cambria" w:cs="Times New Roman"/>
                <w:color w:val="FF0000"/>
              </w:rPr>
              <w:fldChar w:fldCharType="separate"/>
            </w:r>
            <w:r w:rsidRPr="00770B3C">
              <w:rPr>
                <w:rFonts w:ascii="Cambria" w:eastAsia="Calibri" w:hAnsi="Cambria" w:cs="Times New Roman"/>
                <w:noProof/>
                <w:color w:val="FF0000"/>
              </w:rPr>
              <w:t>(Munguía-López &amp; Ponce-Ortega, 2021)</w:t>
            </w:r>
            <w:r w:rsidRPr="00770B3C">
              <w:rPr>
                <w:rFonts w:ascii="Cambria" w:eastAsia="Calibri" w:hAnsi="Cambria" w:cs="Times New Roman"/>
                <w:color w:val="FF0000"/>
              </w:rPr>
              <w:fldChar w:fldCharType="end"/>
            </w:r>
            <w:r w:rsidRPr="00770B3C">
              <w:rPr>
                <w:rFonts w:ascii="Cambria" w:eastAsia="Calibri" w:hAnsi="Cambria" w:cs="Times New Roman"/>
                <w:color w:val="FF0000"/>
              </w:rPr>
              <w:t xml:space="preserve"> for its estimation</w:t>
            </w:r>
          </w:p>
        </w:tc>
      </w:tr>
      <w:tr w:rsidR="00D51439" w:rsidRPr="00AA644C" w14:paraId="2DEB1B53" w14:textId="77777777" w:rsidTr="00290DC8">
        <w:trPr>
          <w:trHeight w:val="20"/>
        </w:trPr>
        <w:tc>
          <w:tcPr>
            <w:tcW w:w="3235" w:type="dxa"/>
          </w:tcPr>
          <w:p w14:paraId="5745A1D5" w14:textId="3CA2494A" w:rsidR="00D51439" w:rsidRPr="00C91A8D" w:rsidRDefault="00000000" w:rsidP="003E2809">
            <w:pPr>
              <w:spacing w:before="0" w:after="0"/>
              <w:rPr>
                <w:rFonts w:ascii="Cambria" w:eastAsia="Calibri" w:hAnsi="Cambria"/>
              </w:rPr>
            </w:pPr>
            <m:oMathPara>
              <m:oMathParaPr>
                <m:jc m:val="left"/>
              </m:oMathParaPr>
              <m:oMath>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X</m:t>
                        </m:r>
                      </m:e>
                      <m:sub>
                        <m:r>
                          <w:rPr>
                            <w:rFonts w:ascii="Cambria Math" w:hAnsi="Cambria Math"/>
                          </w:rPr>
                          <m:t>kt</m:t>
                        </m:r>
                      </m:sub>
                    </m:sSub>
                  </m:e>
                </m:nary>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oMath>
            </m:oMathPara>
          </w:p>
        </w:tc>
        <w:tc>
          <w:tcPr>
            <w:tcW w:w="6115" w:type="dxa"/>
          </w:tcPr>
          <w:p w14:paraId="255E4E35" w14:textId="62FBE9AE" w:rsidR="00D51439" w:rsidRPr="00C91A8D" w:rsidRDefault="00D51439" w:rsidP="003E2809">
            <w:pPr>
              <w:spacing w:before="0" w:after="0"/>
              <w:rPr>
                <w:rFonts w:ascii="Cambria" w:hAnsi="Cambria"/>
              </w:rPr>
            </w:pPr>
            <m:oMathPara>
              <m:oMathParaPr>
                <m:jc m:val="left"/>
              </m:oMathParaPr>
              <m:oMath>
                <m:r>
                  <m:rPr>
                    <m:sty m:val="p"/>
                  </m:rPr>
                  <w:rPr>
                    <w:rFonts w:ascii="Cambria Math" w:hAnsi="Cambria Math"/>
                  </w:rPr>
                  <m:t xml:space="preserve">∀ </m:t>
                </m:r>
                <m:r>
                  <w:rPr>
                    <w:rFonts w:ascii="Cambria Math" w:hAnsi="Cambria Math"/>
                  </w:rPr>
                  <m:t>t</m:t>
                </m:r>
              </m:oMath>
            </m:oMathPara>
          </w:p>
        </w:tc>
      </w:tr>
    </w:tbl>
    <w:p w14:paraId="10CEA812" w14:textId="77777777" w:rsidR="00D51439" w:rsidRDefault="00D51439" w:rsidP="003E2809">
      <w:pPr>
        <w:spacing w:before="0" w:after="0"/>
      </w:pPr>
    </w:p>
    <w:p w14:paraId="7E414769" w14:textId="7496E0B9" w:rsidR="0077703D" w:rsidRPr="00BF1DDF" w:rsidRDefault="0077703D" w:rsidP="003E2809">
      <w:pPr>
        <w:spacing w:before="0" w:after="0"/>
        <w:rPr>
          <w:color w:val="2E2E2E"/>
        </w:rPr>
      </w:pPr>
      <w:r w:rsidRPr="00BF1DDF">
        <w:rPr>
          <w:color w:val="2E2E2E"/>
        </w:rPr>
        <w:t xml:space="preserve">We approached the vaccine allocation problem as a sequential decision-making problem, where officials make allocation decisions on a weekly basis. In each week, denoted as period </w:t>
      </w:r>
      <m:oMath>
        <m:r>
          <w:rPr>
            <w:rFonts w:ascii="Cambria Math" w:hAnsi="Cambria Math"/>
            <w:color w:val="2E2E2E"/>
          </w:rPr>
          <m:t>t</m:t>
        </m:r>
      </m:oMath>
      <w:r w:rsidRPr="00BF1DDF">
        <w:rPr>
          <w:rFonts w:eastAsiaTheme="minorEastAsia"/>
          <w:color w:val="2E2E2E"/>
        </w:rPr>
        <w:t>,</w:t>
      </w:r>
      <w:r w:rsidRPr="00BF1DDF">
        <w:rPr>
          <w:color w:val="2E2E2E"/>
        </w:rPr>
        <w:t xml:space="preserve"> if the vaccine allocation to a specific location falls short of the demand, the unmet demand will be rescheduled for the following periods.</w:t>
      </w:r>
    </w:p>
    <w:p w14:paraId="435EF89A" w14:textId="77777777" w:rsidR="0077703D" w:rsidRPr="00BF1DDF" w:rsidRDefault="0077703D" w:rsidP="003E2809">
      <w:pPr>
        <w:spacing w:before="0" w:after="0"/>
        <w:rPr>
          <w:color w:val="2E2E2E"/>
        </w:rPr>
      </w:pPr>
    </w:p>
    <w:p w14:paraId="2CC083B4" w14:textId="29128212" w:rsidR="0077703D" w:rsidRPr="00BF1DDF" w:rsidRDefault="0077703D" w:rsidP="003E2809">
      <w:pPr>
        <w:spacing w:before="0" w:after="0"/>
        <w:rPr>
          <w:rFonts w:eastAsiaTheme="minorEastAsia"/>
          <w:color w:val="2E2E2E"/>
        </w:rPr>
      </w:pPr>
      <w:r w:rsidRPr="00BF1DDF">
        <w:rPr>
          <w:color w:val="2E2E2E"/>
        </w:rPr>
        <w:t xml:space="preserve">Demand in each period </w:t>
      </w:r>
      <m:oMath>
        <m:r>
          <w:rPr>
            <w:rFonts w:ascii="Cambria Math" w:hAnsi="Cambria Math"/>
            <w:color w:val="2E2E2E"/>
          </w:rPr>
          <m:t>t</m:t>
        </m:r>
      </m:oMath>
      <w:r w:rsidRPr="00BF1DDF">
        <w:rPr>
          <w:rFonts w:eastAsiaTheme="minorEastAsia"/>
          <w:color w:val="2E2E2E"/>
        </w:rPr>
        <w:t>, is calculated according to the following equation.</w:t>
      </w:r>
    </w:p>
    <w:p w14:paraId="43EC9D23" w14:textId="29D19D0C" w:rsidR="0077703D" w:rsidRPr="00BF1DDF" w:rsidRDefault="00000000" w:rsidP="003E2809">
      <w:pPr>
        <w:spacing w:before="0" w:after="0"/>
        <w:rPr>
          <w:color w:val="2E2E2E"/>
        </w:rPr>
      </w:pPr>
      <m:oMathPara>
        <m:oMath>
          <m:sSub>
            <m:sSubPr>
              <m:ctrlPr>
                <w:rPr>
                  <w:rFonts w:ascii="Cambria Math" w:hAnsi="Cambria Math"/>
                </w:rPr>
              </m:ctrlPr>
            </m:sSubPr>
            <m:e>
              <m:r>
                <w:rPr>
                  <w:rFonts w:ascii="Cambria Math" w:hAnsi="Cambria Math"/>
                </w:rPr>
                <m:t>D</m:t>
              </m:r>
            </m:e>
            <m:sub>
              <m:r>
                <w:rPr>
                  <w:rFonts w:ascii="Cambria Math" w:hAnsi="Cambria Math"/>
                </w:rPr>
                <m:t>kt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k</m:t>
              </m:r>
            </m:sub>
          </m:sSub>
          <m:r>
            <m:rPr>
              <m:sty m:val="p"/>
            </m:rPr>
            <w:rPr>
              <w:rFonts w:ascii="Cambria Math" w:hAnsi="Cambria Math"/>
            </w:rPr>
            <m:t>(1-</m:t>
          </m:r>
          <m:sSub>
            <m:sSubPr>
              <m:ctrlPr>
                <w:rPr>
                  <w:rFonts w:ascii="Cambria Math" w:hAnsi="Cambria Math"/>
                </w:rPr>
              </m:ctrlPr>
            </m:sSubPr>
            <m:e>
              <m:r>
                <w:rPr>
                  <w:rFonts w:ascii="Cambria Math" w:hAnsi="Cambria Math"/>
                </w:rPr>
                <m:t>H</m:t>
              </m:r>
            </m:e>
            <m:sub>
              <m:r>
                <w:rPr>
                  <w:rFonts w:ascii="Cambria Math" w:hAnsi="Cambria Math"/>
                </w:rPr>
                <m:t>kt</m:t>
              </m:r>
            </m:sub>
          </m:sSub>
          <m:r>
            <m:rPr>
              <m:sty m:val="p"/>
            </m:rPr>
            <w:rPr>
              <w:rFonts w:ascii="Cambria Math" w:hAnsi="Cambria Math"/>
            </w:rPr>
            <m:t>)-</m:t>
          </m:r>
          <m:nary>
            <m:naryPr>
              <m:chr m:val="∑"/>
              <m:limLoc m:val="undOvr"/>
              <m:ctrlPr>
                <w:rPr>
                  <w:rFonts w:ascii="Cambria Math" w:hAnsi="Cambria Math"/>
                </w:rPr>
              </m:ctrlPr>
            </m:naryPr>
            <m:sub>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m:t>
              </m:r>
            </m:sub>
            <m:sup>
              <m:r>
                <w:rPr>
                  <w:rFonts w:ascii="Cambria Math" w:hAnsi="Cambria Math"/>
                </w:rPr>
                <m:t>t-1</m:t>
              </m:r>
            </m:sup>
            <m:e>
              <m:sSub>
                <m:sSubPr>
                  <m:ctrlPr>
                    <w:rPr>
                      <w:rFonts w:ascii="Cambria Math" w:hAnsi="Cambria Math"/>
                    </w:rPr>
                  </m:ctrlPr>
                </m:sSubPr>
                <m:e>
                  <m:r>
                    <w:rPr>
                      <w:rFonts w:ascii="Cambria Math" w:hAnsi="Cambria Math"/>
                    </w:rPr>
                    <m:t>X</m:t>
                  </m:r>
                </m:e>
                <m:sub>
                  <m:r>
                    <w:rPr>
                      <w:rFonts w:ascii="Cambria Math" w:hAnsi="Cambria Math"/>
                    </w:rPr>
                    <m:t>k</m:t>
                  </m:r>
                  <m:sSup>
                    <m:sSupPr>
                      <m:ctrlPr>
                        <w:rPr>
                          <w:rFonts w:ascii="Cambria Math" w:hAnsi="Cambria Math"/>
                          <w:i/>
                        </w:rPr>
                      </m:ctrlPr>
                    </m:sSupPr>
                    <m:e>
                      <m:r>
                        <w:rPr>
                          <w:rFonts w:ascii="Cambria Math" w:hAnsi="Cambria Math"/>
                        </w:rPr>
                        <m:t>t</m:t>
                      </m:r>
                    </m:e>
                    <m:sup>
                      <m:r>
                        <w:rPr>
                          <w:rFonts w:ascii="Cambria Math" w:hAnsi="Cambria Math"/>
                        </w:rPr>
                        <m:t>'</m:t>
                      </m:r>
                    </m:sup>
                  </m:sSup>
                </m:sub>
              </m:sSub>
            </m:e>
          </m:nary>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kt</m:t>
              </m:r>
            </m:sub>
          </m:sSub>
        </m:oMath>
      </m:oMathPara>
    </w:p>
    <w:p w14:paraId="7438E86E" w14:textId="77777777" w:rsidR="0077703D" w:rsidRDefault="0077703D" w:rsidP="003E2809">
      <w:pPr>
        <w:spacing w:before="0" w:after="0"/>
        <w:rPr>
          <w:rFonts w:ascii="Georgia" w:hAnsi="Georgia"/>
          <w:color w:val="2E2E2E"/>
        </w:rPr>
      </w:pPr>
    </w:p>
    <w:p w14:paraId="2473F9C2" w14:textId="77777777" w:rsidR="0077703D" w:rsidRDefault="0077703D" w:rsidP="003E2809">
      <w:pPr>
        <w:spacing w:before="0" w:after="0"/>
      </w:pPr>
    </w:p>
    <w:p w14:paraId="33511F5D" w14:textId="77777777" w:rsidR="0077703D" w:rsidRDefault="0077703D" w:rsidP="003E2809">
      <w:pPr>
        <w:spacing w:before="0" w:after="0"/>
      </w:pPr>
    </w:p>
    <w:p w14:paraId="50C24C73" w14:textId="77777777" w:rsidR="00F8664E" w:rsidRDefault="00F8664E" w:rsidP="003E2809">
      <w:pPr>
        <w:spacing w:before="0" w:after="0"/>
      </w:pPr>
    </w:p>
    <w:p w14:paraId="0D756A5C" w14:textId="44540EAF" w:rsidR="00A813C9" w:rsidRDefault="00A813C9" w:rsidP="00A813C9">
      <w:pPr>
        <w:spacing w:before="0" w:after="0"/>
        <w:ind w:firstLine="0"/>
      </w:pPr>
      <w:r w:rsidRPr="00A813C9">
        <w:lastRenderedPageBreak/>
        <w:t xml:space="preserve">To determine the most effective distribution of vaccines across various counties, </w:t>
      </w:r>
      <w:r>
        <w:t>different</w:t>
      </w:r>
      <w:r w:rsidRPr="00A813C9">
        <w:t xml:space="preserve"> mathematical models are created to </w:t>
      </w:r>
      <w:r>
        <w:t>account</w:t>
      </w:r>
      <w:r w:rsidRPr="00A813C9">
        <w:t xml:space="preserve"> </w:t>
      </w:r>
      <w:r>
        <w:t>for</w:t>
      </w:r>
      <w:r w:rsidRPr="00A813C9">
        <w:t xml:space="preserve"> various social justice theories. These models consider the social vulnerability present in each county.</w:t>
      </w:r>
    </w:p>
    <w:p w14:paraId="5DAD9179" w14:textId="63068DA9" w:rsidR="00F8664E" w:rsidRPr="007855DA" w:rsidRDefault="00353FBC" w:rsidP="00353FBC">
      <w:pPr>
        <w:pStyle w:val="ListParagraph"/>
        <w:numPr>
          <w:ilvl w:val="0"/>
          <w:numId w:val="15"/>
        </w:numPr>
        <w:spacing w:before="0" w:after="0"/>
        <w:rPr>
          <w:b/>
          <w:bCs/>
        </w:rPr>
      </w:pPr>
      <w:r w:rsidRPr="007855DA">
        <w:rPr>
          <w:b/>
          <w:bCs/>
        </w:rPr>
        <w:t>Pro-rata policy</w:t>
      </w:r>
    </w:p>
    <w:p w14:paraId="20BB0888" w14:textId="5130BC81" w:rsidR="00AA2096" w:rsidRDefault="00317095" w:rsidP="00317095">
      <w:pPr>
        <w:pStyle w:val="ListParagraph"/>
        <w:spacing w:before="0" w:after="0"/>
        <w:ind w:firstLine="0"/>
      </w:pPr>
      <w:r w:rsidRPr="00317095">
        <w:t xml:space="preserve">The pro-rata vaccine allocation </w:t>
      </w:r>
      <w:r>
        <w:t>policy is a</w:t>
      </w:r>
      <w:r w:rsidRPr="00317095">
        <w:t xml:space="preserve"> strategy for distributing the available vaccine doses to various areas in accordance with their respective population sizes.</w:t>
      </w:r>
      <w:r w:rsidR="00AA2096">
        <w:t xml:space="preserve"> </w:t>
      </w:r>
      <w:r w:rsidR="007855DA">
        <w:t>I</w:t>
      </w:r>
      <w:r w:rsidR="007855DA" w:rsidRPr="00317095">
        <w:t>n the United States, the federal government allocate</w:t>
      </w:r>
      <w:r w:rsidR="007855DA">
        <w:t>d</w:t>
      </w:r>
      <w:r w:rsidR="007855DA" w:rsidRPr="00317095">
        <w:t xml:space="preserve"> COVID-19 vaccines to the states using a pro-rata formula, based on each state’s adult population as of 2018</w:t>
      </w:r>
      <w:r w:rsidR="007855DA">
        <w:t xml:space="preserve"> </w:t>
      </w:r>
      <w:r w:rsidR="007855DA">
        <w:fldChar w:fldCharType="begin" w:fldLock="1"/>
      </w:r>
      <w:r w:rsidR="00FD6120">
        <w:instrText>ADDIN CSL_CITATION {"citationItems":[{"id":"ITEM-1","itemData":{"URL":"https://www.defense.gov/News/News-Stories/Article/Article/2441698/pro-rata-vaccine-distribution-is-fair-equitable/","accessed":{"date-parts":[["2023","8","13"]]},"author":[{"dropping-particle":"","family":"Simunaci","given":"Lisa","non-dropping-particle":"","parse-names":false,"suffix":""}],"container-title":"Office of the Secretary of Defense Public Affairs","id":"ITEM-1","issued":{"date-parts":[["2020"]]},"title":"Pro Rata Vaccine Distribution is Fair, Equitable","type":"webpage"},"uris":["http://www.mendeley.com/documents/?uuid=27241e50-d887-3300-8cb5-701ef07deaa3"]}],"mendeley":{"formattedCitation":"(Simunaci, 2020)","plainTextFormattedCitation":"(Simunaci, 2020)","previouslyFormattedCitation":"(Simunaci, 2020)"},"properties":{"noteIndex":0},"schema":"https://github.com/citation-style-language/schema/raw/master/csl-citation.json"}</w:instrText>
      </w:r>
      <w:r w:rsidR="007855DA">
        <w:fldChar w:fldCharType="separate"/>
      </w:r>
      <w:r w:rsidR="007855DA" w:rsidRPr="00317095">
        <w:rPr>
          <w:noProof/>
        </w:rPr>
        <w:t>(Simunaci, 2020)</w:t>
      </w:r>
      <w:r w:rsidR="007855DA">
        <w:fldChar w:fldCharType="end"/>
      </w:r>
      <w:r w:rsidR="007855DA">
        <w:t xml:space="preserve">. </w:t>
      </w:r>
      <w:r w:rsidR="00AA2096" w:rsidRPr="00AA2096">
        <w:t>The following formula is utilized to allocate vaccines based on this pro-rata policy.</w:t>
      </w:r>
    </w:p>
    <w:p w14:paraId="05257893" w14:textId="6351FF30" w:rsidR="000710D8" w:rsidRDefault="00AA2096" w:rsidP="00290DC8">
      <w:pPr>
        <w:pStyle w:val="ListParagraph"/>
        <w:spacing w:before="0" w:after="0"/>
        <w:ind w:firstLine="0"/>
      </w:pPr>
      <w:r>
        <w:t xml:space="preserve"> </w:t>
      </w:r>
    </w:p>
    <w:p w14:paraId="1B8EFAC5" w14:textId="2C1B728A" w:rsidR="00807BFE" w:rsidRPr="00290DC8" w:rsidRDefault="00000000" w:rsidP="0009547A">
      <w:pPr>
        <w:pStyle w:val="ListParagraph"/>
        <w:spacing w:before="0" w:after="0"/>
        <w:ind w:firstLine="0"/>
        <w:rPr>
          <w:rFonts w:ascii="Cambria Math" w:eastAsiaTheme="minorEastAsia" w:hAnsi="Cambria Math"/>
        </w:rPr>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kt</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kt</m:t>
                  </m:r>
                </m:sub>
              </m:sSub>
            </m:num>
            <m:den>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rPr>
                      </m:ctrlPr>
                    </m:sSubPr>
                    <m:e>
                      <m:r>
                        <w:rPr>
                          <w:rFonts w:ascii="Cambria Math" w:hAnsi="Cambria Math"/>
                        </w:rPr>
                        <m:t>D</m:t>
                      </m:r>
                    </m:e>
                    <m:sub>
                      <m:r>
                        <w:rPr>
                          <w:rFonts w:ascii="Cambria Math" w:hAnsi="Cambria Math"/>
                        </w:rPr>
                        <m:t>kt</m:t>
                      </m:r>
                    </m:sub>
                  </m:sSub>
                </m:e>
              </m:nary>
            </m:den>
          </m:f>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oMath>
      </m:oMathPara>
    </w:p>
    <w:p w14:paraId="1F5A5F9D" w14:textId="6912C53A" w:rsidR="00B266E7" w:rsidRDefault="00B266E7" w:rsidP="0009547A">
      <w:pPr>
        <w:pStyle w:val="ListParagraph"/>
        <w:spacing w:before="0" w:after="0"/>
        <w:ind w:firstLine="0"/>
      </w:pPr>
    </w:p>
    <w:p w14:paraId="4B8E0CA5" w14:textId="77777777" w:rsidR="00317095" w:rsidRDefault="00317095" w:rsidP="00317095">
      <w:pPr>
        <w:pStyle w:val="ListParagraph"/>
        <w:spacing w:before="0" w:after="0"/>
        <w:ind w:firstLine="0"/>
      </w:pPr>
    </w:p>
    <w:p w14:paraId="7005CC40" w14:textId="0AA1A1B0" w:rsidR="00353FBC" w:rsidRDefault="00353FBC" w:rsidP="00353FBC">
      <w:pPr>
        <w:pStyle w:val="ListParagraph"/>
        <w:numPr>
          <w:ilvl w:val="0"/>
          <w:numId w:val="15"/>
        </w:numPr>
        <w:spacing w:before="0" w:after="0"/>
        <w:rPr>
          <w:b/>
          <w:bCs/>
        </w:rPr>
      </w:pPr>
      <w:commentRangeStart w:id="0"/>
      <w:r w:rsidRPr="007855DA">
        <w:rPr>
          <w:b/>
          <w:bCs/>
        </w:rPr>
        <w:t>Rawl</w:t>
      </w:r>
      <w:commentRangeEnd w:id="0"/>
      <w:r w:rsidR="00290DC8">
        <w:rPr>
          <w:rStyle w:val="CommentReference"/>
        </w:rPr>
        <w:commentReference w:id="0"/>
      </w:r>
      <w:r w:rsidRPr="007855DA">
        <w:rPr>
          <w:b/>
          <w:bCs/>
        </w:rPr>
        <w:t>’s policy</w:t>
      </w:r>
    </w:p>
    <w:p w14:paraId="42692E2C" w14:textId="77777777" w:rsidR="007855DA" w:rsidRDefault="007855DA" w:rsidP="007855DA">
      <w:pPr>
        <w:pStyle w:val="ListParagraph"/>
        <w:spacing w:before="0" w:after="0"/>
        <w:ind w:firstLine="0"/>
        <w:rPr>
          <w:b/>
          <w:bCs/>
        </w:rPr>
      </w:pPr>
    </w:p>
    <w:p w14:paraId="4D4A7B98" w14:textId="078B583E" w:rsidR="00FD6120" w:rsidRDefault="00FD6120" w:rsidP="00A548F8">
      <w:pPr>
        <w:pStyle w:val="ListParagraph"/>
        <w:spacing w:before="0" w:after="0"/>
        <w:ind w:firstLine="0"/>
      </w:pPr>
      <w:r w:rsidRPr="00FD6120">
        <w:t xml:space="preserve">According to the John Rawl’s theory of justice </w:t>
      </w:r>
      <w:r w:rsidRPr="00FD6120">
        <w:fldChar w:fldCharType="begin" w:fldLock="1"/>
      </w:r>
      <w:r w:rsidR="00A548F8">
        <w:instrText>ADDIN CSL_CITATION {"citationItems":[{"id":"ITEM-1","itemData":{"author":[{"dropping-particle":"","family":"Rawls","given":"John","non-dropping-particle":"","parse-names":false,"suffix":""}],"container-title":"Cambridge (Mass.)","id":"ITEM-1","issued":{"date-parts":[["1971"]]},"title":"A theory of justice","type":"article-journal"},"uris":["http://www.mendeley.com/documents/?uuid=231e0e40-2622-46f3-96e9-023ca135c9d3"]}],"mendeley":{"formattedCitation":"(Rawls, 1971)","plainTextFormattedCitation":"(Rawls, 1971)","previouslyFormattedCitation":"(Rawls, 1971)"},"properties":{"noteIndex":0},"schema":"https://github.com/citation-style-language/schema/raw/master/csl-citation.json"}</w:instrText>
      </w:r>
      <w:r w:rsidRPr="00FD6120">
        <w:fldChar w:fldCharType="separate"/>
      </w:r>
      <w:r w:rsidRPr="00FD6120">
        <w:rPr>
          <w:noProof/>
        </w:rPr>
        <w:t>(Rawls, 1971)</w:t>
      </w:r>
      <w:r w:rsidRPr="00FD6120">
        <w:fldChar w:fldCharType="end"/>
      </w:r>
      <w:r>
        <w:t xml:space="preserve">, </w:t>
      </w:r>
      <w:r w:rsidR="00A548F8">
        <w:t xml:space="preserve">the distribution of benefits should favor the poorest segment of society. This approach aims to gradually </w:t>
      </w:r>
      <w:r w:rsidR="00445F24">
        <w:t>bridge</w:t>
      </w:r>
      <w:r w:rsidR="00A548F8">
        <w:t xml:space="preserve"> the gap between </w:t>
      </w:r>
      <w:r w:rsidR="00A548F8" w:rsidRPr="00A548F8">
        <w:t xml:space="preserve">advantaged and disadvantaged groups within the societal framework </w:t>
      </w:r>
      <w:r w:rsidR="00A548F8" w:rsidRPr="00A548F8">
        <w:fldChar w:fldCharType="begin" w:fldLock="1"/>
      </w:r>
      <w:r w:rsidR="00593AFF">
        <w:instrText>ADDIN CSL_CITATION {"citationItems":[{"id":"ITEM-1","itemData":{"DOI":"10.1016/j.scs.2019.101526","ISSN":"22106707","abstract":"With limited funds and an aging highway infrastructure network, agency decision-makers are tasked with making the most cost-effective decisions while accounting for the environment and social equity. Several studies have accounted for the economic and environmental considerations in infrastructure management decisions. However, there have been limited studies which have proposed quantitative approaches for integrating social equity as part of the highway Maintenance and Rehabilitation (M&amp;R) decision-making process. To address this gap in the literature, this paper proposes four optimization models (corresponding to policies) for achieving social equity in highway M&amp;R programming. The underlying rationales behind these models include combinations of egalitarian, utilitarian, socialism, and Rawlsian equity theories. The developed models were then implemented in a numerical case study consisting of a network of 500 pavement sections. The case study results were evaluated using average condition scores and adaptations of the Gini Coefficient and the Theil Index. An inter-policy analysis suggests that for a similar performance in network condition, different policies yield varying inequity levels over time. Furthermore, step changes in the budget size also suggest that a higher budget size generally leads to a reduction in inequity although some policies perform better than others.","author":[{"dropping-particle":"","family":"France-Mensah","given":"Jojo","non-dropping-particle":"","parse-names":false,"suffix":""},{"dropping-particle":"","family":"Kothari","given":"Chirag","non-dropping-particle":"","parse-names":false,"suffix":""},{"dropping-particle":"","family":"O'Brien","given":"William J.","non-dropping-particle":"","parse-names":false,"suffix":""},{"dropping-particle":"","family":"Jiao","given":"Junfeng","non-dropping-particle":"","parse-names":false,"suffix":""}],"container-title":"Sustainable Cities and Society","id":"ITEM-1","issue":"March","issued":{"date-parts":[["2019"]]},"page":"101526","publisher":"Elsevier","title":"Integrating social equity in highway maintenance and rehabilitation programming: A quantitative approach","type":"article-journal","volume":"48"},"uris":["http://www.mendeley.com/documents/?uuid=60f6294d-c3e2-4a32-8b6e-307183c153af"]}],"mendeley":{"formattedCitation":"(France-Mensah et al., 2019)","plainTextFormattedCitation":"(France-Mensah et al., 2019)","previouslyFormattedCitation":"(France-Mensah et al., 2019)"},"properties":{"noteIndex":0},"schema":"https://github.com/citation-style-language/schema/raw/master/csl-citation.json"}</w:instrText>
      </w:r>
      <w:r w:rsidR="00A548F8" w:rsidRPr="00A548F8">
        <w:fldChar w:fldCharType="separate"/>
      </w:r>
      <w:r w:rsidR="00A548F8" w:rsidRPr="00A548F8">
        <w:rPr>
          <w:noProof/>
        </w:rPr>
        <w:t>(France-Mensah et al., 2019)</w:t>
      </w:r>
      <w:r w:rsidR="00A548F8" w:rsidRPr="00A548F8">
        <w:fldChar w:fldCharType="end"/>
      </w:r>
      <w:r w:rsidR="00A548F8" w:rsidRPr="00A548F8">
        <w:t>.</w:t>
      </w:r>
    </w:p>
    <w:p w14:paraId="04C7981F" w14:textId="77777777" w:rsidR="006D2479" w:rsidRDefault="006D2479" w:rsidP="00A548F8">
      <w:pPr>
        <w:pStyle w:val="ListParagraph"/>
        <w:spacing w:before="0" w:after="0"/>
        <w:ind w:firstLine="0"/>
      </w:pPr>
    </w:p>
    <w:p w14:paraId="3EDEEF75" w14:textId="50225C87" w:rsidR="00477334" w:rsidRPr="00477334" w:rsidRDefault="00477334" w:rsidP="00477334">
      <w:pPr>
        <w:pStyle w:val="ListParagraph"/>
        <w:spacing w:before="0" w:after="0"/>
        <w:ind w:firstLine="0"/>
        <w:rPr>
          <w:rFonts w:ascii="Cambria" w:eastAsiaTheme="minorEastAsia" w:hAnsi="Cambria"/>
          <w:sz w:val="30"/>
          <w:szCs w:val="30"/>
        </w:rPr>
      </w:pPr>
      <m:oMathPara>
        <m:oMathParaPr>
          <m:jc m:val="center"/>
        </m:oMathParaPr>
        <m:oMath>
          <m:r>
            <w:rPr>
              <w:rFonts w:ascii="Cambria Math" w:hAnsi="Cambria Math"/>
            </w:rPr>
            <m:t>Max</m:t>
          </m:r>
          <m:nary>
            <m:naryPr>
              <m:chr m:val="∑"/>
              <m:limLoc m:val="undOvr"/>
              <m:supHide m:val="1"/>
              <m:ctrlPr>
                <w:rPr>
                  <w:rFonts w:ascii="Cambria Math" w:hAnsi="Cambria Math"/>
                </w:rPr>
              </m:ctrlPr>
            </m:naryPr>
            <m:sub>
              <m:r>
                <w:rPr>
                  <w:rFonts w:ascii="Cambria Math" w:hAnsi="Cambria Math"/>
                </w:rPr>
                <m:t>kt</m:t>
              </m:r>
            </m:sub>
            <m:sup/>
            <m:e>
              <m:sSub>
                <m:sSubPr>
                  <m:ctrlPr>
                    <w:rPr>
                      <w:rFonts w:ascii="Cambria Math" w:hAnsi="Cambria Math"/>
                    </w:rPr>
                  </m:ctrlPr>
                </m:sSubPr>
                <m:e>
                  <m:r>
                    <w:rPr>
                      <w:rFonts w:ascii="Cambria Math" w:hAnsi="Cambria Math"/>
                    </w:rPr>
                    <m:t>X</m:t>
                  </m:r>
                </m:e>
                <m:sub>
                  <m:r>
                    <w:rPr>
                      <w:rFonts w:ascii="Cambria Math" w:hAnsi="Cambria Math"/>
                    </w:rPr>
                    <m:t>kt</m:t>
                  </m:r>
                </m:sub>
              </m:sSub>
            </m:e>
          </m:nary>
        </m:oMath>
      </m:oMathPara>
    </w:p>
    <w:p w14:paraId="04A90766" w14:textId="77777777" w:rsidR="00477334" w:rsidRDefault="00477334" w:rsidP="00477334">
      <w:pPr>
        <w:pStyle w:val="ListParagraph"/>
        <w:spacing w:before="0" w:after="0"/>
        <w:ind w:firstLine="0"/>
        <w:rPr>
          <w:rFonts w:eastAsiaTheme="minorEastAsia"/>
        </w:rPr>
      </w:pPr>
    </w:p>
    <w:p w14:paraId="2365FFE4" w14:textId="71067442" w:rsidR="00477334" w:rsidRDefault="00000000" w:rsidP="00477334">
      <w:pPr>
        <w:pStyle w:val="ListParagraph"/>
        <w:spacing w:before="0" w:after="0"/>
        <w:ind w:firstLine="0"/>
      </w:pPr>
      <m:oMathPara>
        <m:oMath>
          <m:sSub>
            <m:sSubPr>
              <m:ctrlPr>
                <w:rPr>
                  <w:rFonts w:ascii="Cambria Math" w:hAnsi="Cambria Math"/>
                </w:rPr>
              </m:ctrlPr>
            </m:sSubPr>
            <m:e>
              <m:r>
                <w:rPr>
                  <w:rFonts w:ascii="Cambria Math" w:hAnsi="Cambria Math"/>
                </w:rPr>
                <m:t>X</m:t>
              </m:r>
            </m:e>
            <m:sub>
              <m:r>
                <w:rPr>
                  <w:rFonts w:ascii="Cambria Math" w:hAnsi="Cambria Math"/>
                </w:rPr>
                <m:t>kt</m:t>
              </m:r>
            </m:sub>
          </m:sSub>
          <m:r>
            <w:rPr>
              <w:rFonts w:ascii="Cambria Math" w:hAnsi="Cambria Math"/>
            </w:rPr>
            <m:t>≤(</m:t>
          </m:r>
          <m:f>
            <m:fPr>
              <m:ctrlPr>
                <w:rPr>
                  <w:rFonts w:ascii="Cambria Math" w:hAnsi="Cambria Math"/>
                  <w:i/>
                </w:rPr>
              </m:ctrlPr>
            </m:fPr>
            <m:num>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k</m:t>
                      </m:r>
                    </m:sub>
                  </m:sSub>
                  <m:r>
                    <w:rPr>
                      <w:rFonts w:ascii="Cambria Math" w:hAnsi="Cambria Math"/>
                    </w:rPr>
                    <m:t>D</m:t>
                  </m:r>
                </m:e>
                <m:sub>
                  <m:r>
                    <w:rPr>
                      <w:rFonts w:ascii="Cambria Math" w:hAnsi="Cambria Math"/>
                    </w:rPr>
                    <m:t>kt</m:t>
                  </m:r>
                </m:sub>
              </m:sSub>
            </m:num>
            <m:den>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k</m:t>
                          </m:r>
                        </m:sub>
                      </m:sSub>
                      <m:r>
                        <w:rPr>
                          <w:rFonts w:ascii="Cambria Math" w:hAnsi="Cambria Math"/>
                        </w:rPr>
                        <m:t>D</m:t>
                      </m:r>
                    </m:e>
                    <m:sub>
                      <m:r>
                        <w:rPr>
                          <w:rFonts w:ascii="Cambria Math" w:hAnsi="Cambria Math"/>
                        </w:rPr>
                        <m:t>kt</m:t>
                      </m:r>
                    </m:sub>
                  </m:sSub>
                </m:e>
              </m:nary>
            </m:den>
          </m:f>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oMath>
      </m:oMathPara>
    </w:p>
    <w:p w14:paraId="2BB4BBFF" w14:textId="77777777" w:rsidR="00477334" w:rsidRDefault="00477334" w:rsidP="00A548F8">
      <w:pPr>
        <w:pStyle w:val="ListParagraph"/>
        <w:spacing w:before="0" w:after="0"/>
        <w:ind w:firstLine="0"/>
      </w:pPr>
    </w:p>
    <w:p w14:paraId="583F01C3" w14:textId="77777777" w:rsidR="008C7D49" w:rsidRDefault="008C7D49" w:rsidP="00A548F8">
      <w:pPr>
        <w:pStyle w:val="ListParagraph"/>
        <w:spacing w:before="0" w:after="0"/>
        <w:ind w:firstLine="0"/>
      </w:pPr>
    </w:p>
    <w:p w14:paraId="48B42551" w14:textId="66E59535" w:rsidR="008C7D49" w:rsidRPr="008C7D49" w:rsidRDefault="008C7D49" w:rsidP="00A548F8">
      <w:pPr>
        <w:pStyle w:val="ListParagraph"/>
        <w:spacing w:before="0" w:after="0"/>
        <w:ind w:firstLine="0"/>
        <w:rPr>
          <w:color w:val="FF0000"/>
        </w:rPr>
      </w:pPr>
      <w:proofErr w:type="spellStart"/>
      <w:r w:rsidRPr="008C7D49">
        <w:rPr>
          <w:color w:val="FF0000"/>
        </w:rPr>
        <w:t>Dastgoshadeh</w:t>
      </w:r>
      <w:proofErr w:type="spellEnd"/>
      <w:r w:rsidRPr="008C7D49">
        <w:rPr>
          <w:color w:val="FF0000"/>
        </w:rPr>
        <w:t xml:space="preserve"> et </w:t>
      </w:r>
      <w:r w:rsidR="00290DC8" w:rsidRPr="008C7D49">
        <w:rPr>
          <w:color w:val="FF0000"/>
        </w:rPr>
        <w:t>al</w:t>
      </w:r>
      <w:r w:rsidR="00290DC8">
        <w:rPr>
          <w:color w:val="FF0000"/>
        </w:rPr>
        <w:t>,</w:t>
      </w:r>
      <w:r w:rsidRPr="008C7D49">
        <w:rPr>
          <w:color w:val="FF0000"/>
        </w:rPr>
        <w:t xml:space="preserve"> divided the population into different social groups. But, we used vulnerability index instead of </w:t>
      </w:r>
      <w:r w:rsidR="00A0525D">
        <w:rPr>
          <w:color w:val="FF0000"/>
        </w:rPr>
        <w:t>dividing</w:t>
      </w:r>
      <w:r w:rsidRPr="008C7D49">
        <w:rPr>
          <w:color w:val="FF0000"/>
        </w:rPr>
        <w:t xml:space="preserve"> to different groups.</w:t>
      </w:r>
    </w:p>
    <w:p w14:paraId="7F7A9097" w14:textId="77777777" w:rsidR="008C7D49" w:rsidRPr="00A548F8" w:rsidRDefault="008C7D49" w:rsidP="00A548F8">
      <w:pPr>
        <w:pStyle w:val="ListParagraph"/>
        <w:spacing w:before="0" w:after="0"/>
        <w:ind w:firstLine="0"/>
      </w:pPr>
    </w:p>
    <w:p w14:paraId="6D4E7D2F" w14:textId="77777777" w:rsidR="00B30CB5" w:rsidRPr="006D2479" w:rsidRDefault="00B30CB5" w:rsidP="006D2479">
      <w:pPr>
        <w:spacing w:before="0" w:after="0"/>
        <w:ind w:firstLine="0"/>
        <w:rPr>
          <w:b/>
          <w:bCs/>
        </w:rPr>
      </w:pPr>
    </w:p>
    <w:p w14:paraId="3B875232" w14:textId="77777777" w:rsidR="006D2479" w:rsidRDefault="006D2479" w:rsidP="007855DA">
      <w:pPr>
        <w:pStyle w:val="ListParagraph"/>
        <w:spacing w:before="0" w:after="0"/>
        <w:ind w:firstLine="0"/>
        <w:rPr>
          <w:b/>
          <w:bCs/>
        </w:rPr>
      </w:pPr>
    </w:p>
    <w:p w14:paraId="1E0AC49A" w14:textId="18AD9934" w:rsidR="00353FBC" w:rsidRPr="007855DA" w:rsidRDefault="00353FBC" w:rsidP="00353FBC">
      <w:pPr>
        <w:pStyle w:val="ListParagraph"/>
        <w:numPr>
          <w:ilvl w:val="0"/>
          <w:numId w:val="15"/>
        </w:numPr>
        <w:spacing w:before="0" w:after="0"/>
        <w:rPr>
          <w:b/>
          <w:bCs/>
        </w:rPr>
      </w:pPr>
      <w:r w:rsidRPr="007855DA">
        <w:rPr>
          <w:b/>
          <w:bCs/>
        </w:rPr>
        <w:t xml:space="preserve">Social welfare </w:t>
      </w:r>
      <w:r w:rsidR="001B4490" w:rsidRPr="007855DA">
        <w:rPr>
          <w:b/>
          <w:bCs/>
        </w:rPr>
        <w:t xml:space="preserve">(utilitarianism) </w:t>
      </w:r>
      <w:r w:rsidRPr="007855DA">
        <w:rPr>
          <w:b/>
          <w:bCs/>
        </w:rPr>
        <w:t>policy</w:t>
      </w:r>
    </w:p>
    <w:p w14:paraId="759C9D25" w14:textId="77777777" w:rsidR="00353FBC" w:rsidRDefault="00353FBC" w:rsidP="007855DA">
      <w:pPr>
        <w:pStyle w:val="ListParagraph"/>
        <w:spacing w:before="0" w:after="0"/>
        <w:ind w:firstLine="0"/>
      </w:pPr>
    </w:p>
    <w:p w14:paraId="34ADCBA0" w14:textId="41BCDB11" w:rsidR="00726890" w:rsidRPr="00B30CB5" w:rsidRDefault="00B30CB5" w:rsidP="007855DA">
      <w:pPr>
        <w:pStyle w:val="ListParagraph"/>
        <w:spacing w:before="0" w:after="0"/>
        <w:ind w:firstLine="0"/>
      </w:pPr>
      <m:oMathPara>
        <m:oMathParaPr>
          <m:jc m:val="left"/>
        </m:oMathParaPr>
        <m:oMath>
          <m:r>
            <w:rPr>
              <w:rFonts w:ascii="Cambria Math" w:eastAsiaTheme="minorEastAsia" w:hAnsi="Cambria Math"/>
              <w:sz w:val="30"/>
              <w:szCs w:val="30"/>
            </w:rPr>
            <m:t xml:space="preserve">Max </m:t>
          </m:r>
          <m:nary>
            <m:naryPr>
              <m:chr m:val="∑"/>
              <m:limLoc m:val="undOvr"/>
              <m:supHide m:val="1"/>
              <m:ctrlPr>
                <w:rPr>
                  <w:rFonts w:ascii="Cambria Math" w:hAnsi="Cambria Math"/>
                </w:rPr>
              </m:ctrlPr>
            </m:naryPr>
            <m:sub>
              <m:r>
                <w:rPr>
                  <w:rFonts w:ascii="Cambria Math" w:hAnsi="Cambria Math"/>
                </w:rPr>
                <m:t>kt</m:t>
              </m:r>
            </m:sub>
            <m:sup/>
            <m:e>
              <m:sSub>
                <m:sSubPr>
                  <m:ctrlPr>
                    <w:rPr>
                      <w:rFonts w:ascii="Cambria Math" w:hAnsi="Cambria Math"/>
                    </w:rPr>
                  </m:ctrlPr>
                </m:sSubPr>
                <m:e>
                  <m:r>
                    <w:rPr>
                      <w:rFonts w:ascii="Cambria Math" w:hAnsi="Cambria Math"/>
                    </w:rPr>
                    <m:t>X</m:t>
                  </m:r>
                </m:e>
                <m:sub>
                  <m:r>
                    <w:rPr>
                      <w:rFonts w:ascii="Cambria Math" w:hAnsi="Cambria Math"/>
                    </w:rPr>
                    <m:t>kt</m:t>
                  </m:r>
                </m:sub>
              </m:sSub>
            </m:e>
          </m:nary>
        </m:oMath>
      </m:oMathPara>
    </w:p>
    <w:p w14:paraId="4024E2AE" w14:textId="75726C6B" w:rsidR="00E643FA" w:rsidRPr="00E643FA" w:rsidRDefault="00000000" w:rsidP="00E643FA">
      <w:pPr>
        <w:pStyle w:val="ListParagraph"/>
        <w:spacing w:before="0" w:after="0"/>
        <w:ind w:firstLine="0"/>
      </w:pPr>
      <m:oMathPara>
        <m:oMathParaPr>
          <m:jc m:val="left"/>
        </m:oMathParaPr>
        <m:oMath>
          <m:sSub>
            <m:sSubPr>
              <m:ctrlPr>
                <w:rPr>
                  <w:rFonts w:ascii="Cambria Math" w:hAnsi="Cambria Math"/>
                </w:rPr>
              </m:ctrlPr>
            </m:sSubPr>
            <m:e>
              <m:r>
                <w:rPr>
                  <w:rFonts w:ascii="Cambria Math" w:hAnsi="Cambria Math"/>
                </w:rPr>
                <m:t>X</m:t>
              </m:r>
            </m:e>
            <m:sub>
              <m:r>
                <w:rPr>
                  <w:rFonts w:ascii="Cambria Math" w:hAnsi="Cambria Math"/>
                </w:rPr>
                <m:t>kt</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kt</m:t>
                  </m:r>
                </m:sub>
              </m:sSub>
            </m:num>
            <m:den>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rPr>
                      </m:ctrlPr>
                    </m:sSubPr>
                    <m:e>
                      <m:r>
                        <w:rPr>
                          <w:rFonts w:ascii="Cambria Math" w:hAnsi="Cambria Math"/>
                        </w:rPr>
                        <m:t>D</m:t>
                      </m:r>
                    </m:e>
                    <m:sub>
                      <m:r>
                        <w:rPr>
                          <w:rFonts w:ascii="Cambria Math" w:hAnsi="Cambria Math"/>
                        </w:rPr>
                        <m:t>kt</m:t>
                      </m:r>
                    </m:sub>
                  </m:sSub>
                </m:e>
              </m:nary>
            </m:den>
          </m:f>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t</m:t>
              </m:r>
            </m:sub>
          </m:sSub>
        </m:oMath>
      </m:oMathPara>
    </w:p>
    <w:p w14:paraId="5D077CE4" w14:textId="77777777" w:rsidR="0026767D" w:rsidRDefault="0026767D" w:rsidP="007855DA">
      <w:pPr>
        <w:pStyle w:val="ListParagraph"/>
        <w:spacing w:before="0" w:after="0"/>
        <w:ind w:firstLine="0"/>
      </w:pPr>
    </w:p>
    <w:p w14:paraId="1EAB0A90" w14:textId="6BC2F2D7" w:rsidR="00F8664E" w:rsidRDefault="00F569CA" w:rsidP="00F569CA">
      <w:pPr>
        <w:pStyle w:val="ListParagraph"/>
        <w:spacing w:before="0" w:after="0"/>
        <w:ind w:firstLine="0"/>
      </w:pPr>
      <w:r w:rsidRPr="00F569CA">
        <w:t xml:space="preserve">The </w:t>
      </w:r>
      <w:r>
        <w:t>core</w:t>
      </w:r>
      <w:r w:rsidRPr="00F569CA">
        <w:t xml:space="preserve"> principle of this theory </w:t>
      </w:r>
      <w:r>
        <w:t>is to</w:t>
      </w:r>
      <w:r w:rsidRPr="00F569CA">
        <w:t xml:space="preserve"> </w:t>
      </w:r>
      <w:r>
        <w:t>maximize the o</w:t>
      </w:r>
      <w:r w:rsidRPr="00F569CA">
        <w:t xml:space="preserve">verall </w:t>
      </w:r>
      <w:r>
        <w:t>benefits</w:t>
      </w:r>
      <w:r w:rsidRPr="00F569CA">
        <w:t xml:space="preserve"> experienced by every individual within the population. Th</w:t>
      </w:r>
      <w:r>
        <w:t xml:space="preserve">is theory emphasis </w:t>
      </w:r>
      <w:r w:rsidRPr="00F569CA">
        <w:t xml:space="preserve">that society benefits the most </w:t>
      </w:r>
      <w:r>
        <w:t xml:space="preserve">as </w:t>
      </w:r>
      <w:r w:rsidRPr="00F569CA">
        <w:t xml:space="preserve">a </w:t>
      </w:r>
      <w:r>
        <w:t>whole</w:t>
      </w:r>
      <w:r w:rsidRPr="00F569CA">
        <w:t xml:space="preserve">, without necessarily </w:t>
      </w:r>
      <w:r>
        <w:t>identifying</w:t>
      </w:r>
      <w:r w:rsidRPr="00F569CA">
        <w:t xml:space="preserve"> which specific groups receive the greatest benefits</w:t>
      </w:r>
      <w:r w:rsidR="00593AFF">
        <w:t xml:space="preserve"> </w:t>
      </w:r>
      <w:r w:rsidR="00593AFF" w:rsidRPr="00A548F8">
        <w:fldChar w:fldCharType="begin" w:fldLock="1"/>
      </w:r>
      <w:r w:rsidR="00770B3C">
        <w:instrText>ADDIN CSL_CITATION {"citationItems":[{"id":"ITEM-1","itemData":{"DOI":"10.1016/j.scs.2019.101526","ISSN":"22106707","abstract":"With limited funds and an aging highway infrastructure network, agency decision-makers are tasked with making the most cost-effective decisions while accounting for the environment and social equity. Several studies have accounted for the economic and environmental considerations in infrastructure management decisions. However, there have been limited studies which have proposed quantitative approaches for integrating social equity as part of the highway Maintenance and Rehabilitation (M&amp;R) decision-making process. To address this gap in the literature, this paper proposes four optimization models (corresponding to policies) for achieving social equity in highway M&amp;R programming. The underlying rationales behind these models include combinations of egalitarian, utilitarian, socialism, and Rawlsian equity theories. The developed models were then implemented in a numerical case study consisting of a network of 500 pavement sections. The case study results were evaluated using average condition scores and adaptations of the Gini Coefficient and the Theil Index. An inter-policy analysis suggests that for a similar performance in network condition, different policies yield varying inequity levels over time. Furthermore, step changes in the budget size also suggest that a higher budget size generally leads to a reduction in inequity although some policies perform better than others.","author":[{"dropping-particle":"","family":"France-Mensah","given":"Jojo","non-dropping-particle":"","parse-names":false,"suffix":""},{"dropping-particle":"","family":"Kothari","given":"Chirag","non-dropping-particle":"","parse-names":false,"suffix":""},{"dropping-particle":"","family":"O'Brien","given":"William J.","non-dropping-particle":"","parse-names":false,"suffix":""},{"dropping-particle":"","family":"Jiao","given":"Junfeng","non-dropping-particle":"","parse-names":false,"suffix":""}],"container-title":"Sustainable Cities and Society","id":"ITEM-1","issue":"March","issued":{"date-parts":[["2019"]]},"page":"101526","publisher":"Elsevier","title":"Integrating social equity in highway maintenance and rehabilitation programming: A quantitative approach","type":"article-journal","volume":"48"},"uris":["http://www.mendeley.com/documents/?uuid=60f6294d-c3e2-4a32-8b6e-307183c153af"]},{"id":"ITEM-2","itemData":{"DOI":"10.1016/j.tra.2018.04.005","ISSN":"09658564","abstract":"In recent years, researchers have developed new methods to measure how transport decisions affect different groups of society. An example is the distribution of impacts (benefits and costs) from roadway investments, and the degree that the results are considered equitable (also called fair or just). Such decisions affect people's ability to access services and activities, and therefore their economic opportunities and development. This study suggests ways of incorporating social equity measures in transportation network planning. It describes various equity impacts that can result from transportation planning decisions, discusses various social equity concepts and theories, reviews previous attempts to incorporate equity considerations into transport networks modeling, and suggests a framework for simultaneously optimizing network design and achieving social equity objectives. According to this framework, network design can be formulated using bi-level integer programming models corresponding to seven major social equity approaches along with the classical approach of “Total Travel Time Minimization.” An accessibility variable is used as the distributable benefit. This approach is more comprehensive and flexible than previous equity impact models. The proposed framework can be used to evaluate and optimize the equity impacts of various infrastructure investment decisions.","author":[{"dropping-particle":"","family":"Behbahani","given":"Hamid","non-dropping-particle":"","parse-names":false,"suffix":""},{"dropping-particle":"","family":"Nazari","given":"Sobhan","non-dropping-particle":"","parse-names":false,"suffix":""},{"dropping-particle":"","family":"Jafari Kang","given":"Masood","non-dropping-particle":"","parse-names":false,"suffix":""},{"dropping-particle":"","family":"Litman","given":"Todd","non-dropping-particle":"","parse-names":false,"suffix":""}],"container-title":"Transportation Research Part A: Policy and Practice","id":"ITEM-2","issue":"April 2018","issued":{"date-parts":[["2019"]]},"page":"171-183","publisher":"Elsevier","title":"A conceptual framework to formulate transportation network design problem considering social equity criteria","type":"article-journal","volume":"125"},"uris":["http://www.mendeley.com/documents/?uuid=237be5b0-029d-43c6-ad27-58e32d58d933"]}],"mendeley":{"formattedCitation":"(Behbahani et al., 2019; France-Mensah et al., 2019)","plainTextFormattedCitation":"(Behbahani et al., 2019; France-Mensah et al., 2019)","previouslyFormattedCitation":"(Behbahani et al., 2019; France-Mensah et al., 2019)"},"properties":{"noteIndex":0},"schema":"https://github.com/citation-style-language/schema/raw/master/csl-citation.json"}</w:instrText>
      </w:r>
      <w:r w:rsidR="00593AFF" w:rsidRPr="00A548F8">
        <w:fldChar w:fldCharType="separate"/>
      </w:r>
      <w:r w:rsidR="00593AFF" w:rsidRPr="00593AFF">
        <w:rPr>
          <w:noProof/>
        </w:rPr>
        <w:t>(Behbahani et al., 2019; France-Mensah et al., 2019)</w:t>
      </w:r>
      <w:r w:rsidR="00593AFF" w:rsidRPr="00A548F8">
        <w:fldChar w:fldCharType="end"/>
      </w:r>
      <w:r w:rsidRPr="00F569CA">
        <w:t>.</w:t>
      </w:r>
    </w:p>
    <w:p w14:paraId="77F3D624" w14:textId="77777777" w:rsidR="00F569CA" w:rsidRDefault="00F569CA" w:rsidP="003E2809">
      <w:pPr>
        <w:spacing w:before="0" w:after="0"/>
      </w:pPr>
    </w:p>
    <w:p w14:paraId="4DF0F68C" w14:textId="77777777" w:rsidR="00033482" w:rsidRDefault="00033482" w:rsidP="003E2809">
      <w:pPr>
        <w:spacing w:before="0" w:after="0"/>
      </w:pPr>
    </w:p>
    <w:p w14:paraId="42F682C1" w14:textId="2289DF57" w:rsidR="0020529C" w:rsidRDefault="0020529C" w:rsidP="0020529C">
      <w:pPr>
        <w:pStyle w:val="ListParagraph"/>
        <w:numPr>
          <w:ilvl w:val="0"/>
          <w:numId w:val="15"/>
        </w:numPr>
        <w:spacing w:before="0" w:after="0"/>
        <w:rPr>
          <w:b/>
          <w:bCs/>
        </w:rPr>
      </w:pPr>
      <w:r>
        <w:rPr>
          <w:b/>
          <w:bCs/>
        </w:rPr>
        <w:t>Gini Index</w:t>
      </w:r>
    </w:p>
    <w:p w14:paraId="260EC654" w14:textId="77777777" w:rsidR="00A73DB2" w:rsidRDefault="00A73DB2" w:rsidP="00A73DB2">
      <w:pPr>
        <w:pStyle w:val="ListParagraph"/>
        <w:spacing w:before="0" w:after="0"/>
        <w:ind w:firstLine="0"/>
        <w:rPr>
          <w:b/>
          <w:bCs/>
        </w:rPr>
      </w:pPr>
    </w:p>
    <w:p w14:paraId="689B581E" w14:textId="2857961C" w:rsidR="00A73DB2" w:rsidRPr="00B30CB5" w:rsidRDefault="00A73DB2" w:rsidP="00A73DB2">
      <w:pPr>
        <w:pStyle w:val="ListParagraph"/>
        <w:spacing w:before="0" w:after="0"/>
        <w:ind w:firstLine="0"/>
      </w:pPr>
      <m:oMathPara>
        <m:oMathParaPr>
          <m:jc m:val="left"/>
        </m:oMathParaPr>
        <m:oMath>
          <m:r>
            <w:rPr>
              <w:rFonts w:ascii="Cambria Math" w:eastAsiaTheme="minorEastAsia" w:hAnsi="Cambria Math"/>
              <w:sz w:val="30"/>
              <w:szCs w:val="30"/>
            </w:rPr>
            <m:t xml:space="preserve">Max </m:t>
          </m:r>
          <m:nary>
            <m:naryPr>
              <m:chr m:val="∑"/>
              <m:limLoc m:val="undOvr"/>
              <m:supHide m:val="1"/>
              <m:ctrlPr>
                <w:rPr>
                  <w:rFonts w:ascii="Cambria Math" w:hAnsi="Cambria Math"/>
                </w:rPr>
              </m:ctrlPr>
            </m:naryPr>
            <m:sub>
              <m:r>
                <w:rPr>
                  <w:rFonts w:ascii="Cambria Math" w:hAnsi="Cambria Math"/>
                </w:rPr>
                <m:t>kt</m:t>
              </m:r>
            </m:sub>
            <m:sup/>
            <m:e>
              <m:sSub>
                <m:sSubPr>
                  <m:ctrlPr>
                    <w:rPr>
                      <w:rFonts w:ascii="Cambria Math" w:hAnsi="Cambria Math"/>
                    </w:rPr>
                  </m:ctrlPr>
                </m:sSubPr>
                <m:e>
                  <m:r>
                    <w:rPr>
                      <w:rFonts w:ascii="Cambria Math" w:hAnsi="Cambria Math"/>
                    </w:rPr>
                    <m:t>X</m:t>
                  </m:r>
                </m:e>
                <m:sub>
                  <m:r>
                    <w:rPr>
                      <w:rFonts w:ascii="Cambria Math" w:hAnsi="Cambria Math"/>
                    </w:rPr>
                    <m:t>kt</m:t>
                  </m:r>
                </m:sub>
              </m:sSub>
            </m:e>
          </m:nary>
        </m:oMath>
      </m:oMathPara>
    </w:p>
    <w:p w14:paraId="3DBCBADC" w14:textId="77777777" w:rsidR="00A73DB2" w:rsidRDefault="00A73DB2" w:rsidP="00A73DB2">
      <w:pPr>
        <w:pStyle w:val="ListParagraph"/>
        <w:spacing w:before="0" w:after="0"/>
        <w:ind w:firstLine="0"/>
        <w:rPr>
          <w:b/>
          <w:bCs/>
        </w:rPr>
      </w:pPr>
    </w:p>
    <w:p w14:paraId="1203CD25" w14:textId="77777777" w:rsidR="0020529C" w:rsidRDefault="0020529C" w:rsidP="0020529C">
      <w:pPr>
        <w:spacing w:before="0" w:after="0"/>
        <w:ind w:left="360" w:firstLine="0"/>
        <w:rPr>
          <w:b/>
          <w:bCs/>
        </w:rPr>
      </w:pPr>
    </w:p>
    <w:p w14:paraId="0D17EBBA" w14:textId="48F4D210" w:rsidR="0020529C" w:rsidRPr="00AC161A" w:rsidRDefault="00000000" w:rsidP="0020529C">
      <w:pPr>
        <w:spacing w:before="0" w:after="0"/>
        <w:ind w:left="360" w:firstLine="0"/>
        <w:rPr>
          <w:rFonts w:eastAsiaTheme="minorEastAsia"/>
        </w:rPr>
      </w:pPr>
      <m:oMathPara>
        <m:oMathParaPr>
          <m:jc m:val="left"/>
        </m:oMathParaPr>
        <m:oMath>
          <m:f>
            <m:fPr>
              <m:ctrlPr>
                <w:rPr>
                  <w:rFonts w:ascii="Cambria Math" w:eastAsiaTheme="minorEastAsia" w:hAnsi="Cambria Math"/>
                  <w:i/>
                </w:rPr>
              </m:ctrlPr>
            </m:fPr>
            <m:num>
              <m:nary>
                <m:naryPr>
                  <m:chr m:val="∑"/>
                  <m:limLoc m:val="undOvr"/>
                  <m:supHide m:val="1"/>
                  <m:ctrlPr>
                    <w:rPr>
                      <w:rFonts w:ascii="Cambria Math" w:hAnsi="Cambria Math"/>
                    </w:rPr>
                  </m:ctrlPr>
                </m:naryPr>
                <m:sub>
                  <m:r>
                    <w:rPr>
                      <w:rFonts w:ascii="Cambria Math" w:hAnsi="Cambria Math"/>
                    </w:rPr>
                    <m:t>k</m:t>
                  </m:r>
                </m:sub>
                <m:sup/>
                <m:e>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k</m:t>
                          </m:r>
                        </m:e>
                        <m:sup>
                          <m:r>
                            <w:rPr>
                              <w:rFonts w:ascii="Cambria Math" w:hAnsi="Cambria Math"/>
                            </w:rPr>
                            <m:t>'</m:t>
                          </m:r>
                        </m:sup>
                      </m:sSup>
                    </m:sub>
                    <m:sup/>
                    <m:e>
                      <m:d>
                        <m:dPr>
                          <m:begChr m:val="|"/>
                          <m:endChr m:val="|"/>
                          <m:ctrlPr>
                            <w:rPr>
                              <w:rFonts w:ascii="Cambria Math" w:hAnsi="Cambria Math"/>
                              <w:i/>
                            </w:rPr>
                          </m:ctrlPr>
                        </m:dPr>
                        <m:e>
                          <m:f>
                            <m:fPr>
                              <m:ctrlPr>
                                <w:rPr>
                                  <w:rFonts w:ascii="Cambria Math" w:eastAsia="Calibri" w:hAnsi="Cambria Math"/>
                                  <w:sz w:val="30"/>
                                  <w:szCs w:val="30"/>
                                </w:rPr>
                              </m:ctrlPr>
                            </m:fPr>
                            <m:num>
                              <m:sSub>
                                <m:sSubPr>
                                  <m:ctrlPr>
                                    <w:rPr>
                                      <w:rFonts w:ascii="Cambria Math" w:hAnsi="Cambria Math"/>
                                    </w:rPr>
                                  </m:ctrlPr>
                                </m:sSubPr>
                                <m:e>
                                  <m:r>
                                    <w:rPr>
                                      <w:rFonts w:ascii="Cambria Math" w:hAnsi="Cambria Math"/>
                                    </w:rPr>
                                    <m:t>X</m:t>
                                  </m:r>
                                </m:e>
                                <m:sub>
                                  <m:r>
                                    <w:rPr>
                                      <w:rFonts w:ascii="Cambria Math" w:hAnsi="Cambria Math"/>
                                    </w:rPr>
                                    <m:t>kt</m:t>
                                  </m:r>
                                </m:sub>
                              </m:sSub>
                            </m:num>
                            <m:den>
                              <m:sSub>
                                <m:sSubPr>
                                  <m:ctrlPr>
                                    <w:rPr>
                                      <w:rFonts w:ascii="Cambria Math" w:hAnsi="Cambria Math"/>
                                    </w:rPr>
                                  </m:ctrlPr>
                                </m:sSubPr>
                                <m:e>
                                  <m:r>
                                    <w:rPr>
                                      <w:rFonts w:ascii="Cambria Math" w:hAnsi="Cambria Math"/>
                                    </w:rPr>
                                    <m:t>D</m:t>
                                  </m:r>
                                </m:e>
                                <m:sub>
                                  <m:r>
                                    <w:rPr>
                                      <w:rFonts w:ascii="Cambria Math" w:hAnsi="Cambria Math"/>
                                    </w:rPr>
                                    <m:t>kt</m:t>
                                  </m:r>
                                </m:sub>
                              </m:sSub>
                            </m:den>
                          </m:f>
                          <m:r>
                            <w:rPr>
                              <w:rFonts w:ascii="Cambria Math" w:eastAsia="Calibri" w:hAnsi="Cambria Math"/>
                              <w:sz w:val="30"/>
                              <w:szCs w:val="30"/>
                            </w:rPr>
                            <m:t>-</m:t>
                          </m:r>
                          <m:f>
                            <m:fPr>
                              <m:ctrlPr>
                                <w:rPr>
                                  <w:rFonts w:ascii="Cambria Math" w:eastAsia="Calibri" w:hAnsi="Cambria Math"/>
                                  <w:sz w:val="30"/>
                                  <w:szCs w:val="30"/>
                                </w:rPr>
                              </m:ctrlPr>
                            </m:fPr>
                            <m:num>
                              <m:sSub>
                                <m:sSubPr>
                                  <m:ctrlPr>
                                    <w:rPr>
                                      <w:rFonts w:ascii="Cambria Math" w:hAnsi="Cambria Math"/>
                                    </w:rPr>
                                  </m:ctrlPr>
                                </m:sSubPr>
                                <m:e>
                                  <m:r>
                                    <w:rPr>
                                      <w:rFonts w:ascii="Cambria Math" w:hAnsi="Cambria Math"/>
                                    </w:rPr>
                                    <m:t>X</m:t>
                                  </m:r>
                                </m:e>
                                <m:sub>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t</m:t>
                                  </m:r>
                                </m:sub>
                              </m:sSub>
                            </m:num>
                            <m:den>
                              <m:sSub>
                                <m:sSubPr>
                                  <m:ctrlPr>
                                    <w:rPr>
                                      <w:rFonts w:ascii="Cambria Math" w:hAnsi="Cambria Math"/>
                                    </w:rPr>
                                  </m:ctrlPr>
                                </m:sSubPr>
                                <m:e>
                                  <m:r>
                                    <w:rPr>
                                      <w:rFonts w:ascii="Cambria Math" w:hAnsi="Cambria Math"/>
                                    </w:rPr>
                                    <m:t>D</m:t>
                                  </m:r>
                                  <w:commentRangeStart w:id="1"/>
                                  <w:commentRangeEnd w:id="1"/>
                                  <m:r>
                                    <m:rPr>
                                      <m:sty m:val="p"/>
                                    </m:rPr>
                                    <w:rPr>
                                      <w:rStyle w:val="CommentReference"/>
                                    </w:rPr>
                                    <w:commentReference w:id="1"/>
                                  </m:r>
                                </m:e>
                                <m:sub>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t</m:t>
                                  </m:r>
                                </m:sub>
                              </m:sSub>
                            </m:den>
                          </m:f>
                        </m:e>
                      </m:d>
                    </m:e>
                  </m:nary>
                </m:e>
              </m:nary>
            </m:num>
            <m:den>
              <m:r>
                <w:rPr>
                  <w:rFonts w:ascii="Cambria Math" w:eastAsiaTheme="minorEastAsia" w:hAnsi="Cambria Math"/>
                </w:rPr>
                <m:t>2K</m:t>
              </m:r>
              <m:nary>
                <m:naryPr>
                  <m:chr m:val="∑"/>
                  <m:limLoc m:val="undOvr"/>
                  <m:supHide m:val="1"/>
                  <m:ctrlPr>
                    <w:rPr>
                      <w:rFonts w:ascii="Cambria Math" w:hAnsi="Cambria Math"/>
                    </w:rPr>
                  </m:ctrlPr>
                </m:naryPr>
                <m:sub>
                  <m:r>
                    <w:rPr>
                      <w:rFonts w:ascii="Cambria Math" w:hAnsi="Cambria Math"/>
                    </w:rPr>
                    <m:t>kt</m:t>
                  </m:r>
                </m:sub>
                <m:sup/>
                <m:e>
                  <m:f>
                    <m:fPr>
                      <m:ctrlPr>
                        <w:rPr>
                          <w:rFonts w:ascii="Cambria Math" w:eastAsia="Calibri" w:hAnsi="Cambria Math"/>
                          <w:sz w:val="30"/>
                          <w:szCs w:val="30"/>
                        </w:rPr>
                      </m:ctrlPr>
                    </m:fPr>
                    <m:num>
                      <m:sSub>
                        <m:sSubPr>
                          <m:ctrlPr>
                            <w:rPr>
                              <w:rFonts w:ascii="Cambria Math" w:hAnsi="Cambria Math"/>
                            </w:rPr>
                          </m:ctrlPr>
                        </m:sSubPr>
                        <m:e>
                          <m:r>
                            <w:rPr>
                              <w:rFonts w:ascii="Cambria Math" w:hAnsi="Cambria Math"/>
                            </w:rPr>
                            <m:t>X</m:t>
                          </m:r>
                        </m:e>
                        <m:sub>
                          <m:r>
                            <w:rPr>
                              <w:rFonts w:ascii="Cambria Math" w:hAnsi="Cambria Math"/>
                            </w:rPr>
                            <m:t>kt</m:t>
                          </m:r>
                        </m:sub>
                      </m:sSub>
                    </m:num>
                    <m:den>
                      <m:sSub>
                        <m:sSubPr>
                          <m:ctrlPr>
                            <w:rPr>
                              <w:rFonts w:ascii="Cambria Math" w:hAnsi="Cambria Math"/>
                            </w:rPr>
                          </m:ctrlPr>
                        </m:sSubPr>
                        <m:e>
                          <m:r>
                            <w:rPr>
                              <w:rFonts w:ascii="Cambria Math" w:hAnsi="Cambria Math"/>
                            </w:rPr>
                            <m:t>D</m:t>
                          </m:r>
                        </m:e>
                        <m:sub>
                          <m:r>
                            <w:rPr>
                              <w:rFonts w:ascii="Cambria Math" w:hAnsi="Cambria Math"/>
                            </w:rPr>
                            <m:t>kt</m:t>
                          </m:r>
                        </m:sub>
                      </m:sSub>
                    </m:den>
                  </m:f>
                </m:e>
              </m:nary>
            </m:den>
          </m:f>
          <m:r>
            <w:rPr>
              <w:rFonts w:ascii="Cambria Math" w:eastAsiaTheme="minorEastAsia" w:hAnsi="Cambria Math"/>
            </w:rPr>
            <m:t>≤ε         ∀ t ∈T</m:t>
          </m:r>
        </m:oMath>
      </m:oMathPara>
    </w:p>
    <w:p w14:paraId="1A6129DD" w14:textId="77777777" w:rsidR="00AC161A" w:rsidRDefault="00AC161A" w:rsidP="0020529C">
      <w:pPr>
        <w:spacing w:before="0" w:after="0"/>
        <w:ind w:left="360" w:firstLine="0"/>
        <w:rPr>
          <w:b/>
          <w:bCs/>
        </w:rPr>
      </w:pPr>
    </w:p>
    <w:p w14:paraId="2113AD2D" w14:textId="0AE75B9C" w:rsidR="004F7133" w:rsidRDefault="004F7133" w:rsidP="0020529C">
      <w:pPr>
        <w:spacing w:before="0" w:after="0"/>
        <w:ind w:left="360" w:firstLine="0"/>
        <w:rPr>
          <w:b/>
          <w:bCs/>
        </w:rPr>
      </w:pPr>
      <w:r w:rsidRPr="002269FC">
        <w:rPr>
          <w:noProof/>
        </w:rPr>
        <w:drawing>
          <wp:inline distT="0" distB="0" distL="0" distR="0" wp14:anchorId="68B2355A" wp14:editId="17B5BB0E">
            <wp:extent cx="2892829" cy="1164770"/>
            <wp:effectExtent l="0" t="0" r="3175" b="0"/>
            <wp:docPr id="1954290514" name="Picture 1954290514" descr="A picture containing text, font, screensho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09512" name="Picture 1" descr="A picture containing text, font, screenshot, information&#10;&#10;Description automatically generated"/>
                    <pic:cNvPicPr/>
                  </pic:nvPicPr>
                  <pic:blipFill>
                    <a:blip r:embed="rId12"/>
                    <a:stretch>
                      <a:fillRect/>
                    </a:stretch>
                  </pic:blipFill>
                  <pic:spPr>
                    <a:xfrm>
                      <a:off x="0" y="0"/>
                      <a:ext cx="2908570" cy="1171108"/>
                    </a:xfrm>
                    <a:prstGeom prst="rect">
                      <a:avLst/>
                    </a:prstGeom>
                  </pic:spPr>
                </pic:pic>
              </a:graphicData>
            </a:graphic>
          </wp:inline>
        </w:drawing>
      </w:r>
    </w:p>
    <w:p w14:paraId="4175CD12" w14:textId="2FF29A27" w:rsidR="004F7133" w:rsidRDefault="004F7133" w:rsidP="0020529C">
      <w:pPr>
        <w:spacing w:before="0" w:after="0"/>
        <w:ind w:left="360" w:firstLine="0"/>
        <w:rPr>
          <w:b/>
          <w:bCs/>
        </w:rPr>
      </w:pPr>
    </w:p>
    <w:p w14:paraId="160644C0" w14:textId="77777777" w:rsidR="00612EFF" w:rsidRDefault="00612EFF" w:rsidP="003E2809">
      <w:pPr>
        <w:spacing w:before="0" w:after="0"/>
      </w:pPr>
    </w:p>
    <w:p w14:paraId="50786089" w14:textId="77777777" w:rsidR="00A55400" w:rsidRDefault="00A55400" w:rsidP="00A55400">
      <w:pPr>
        <w:pStyle w:val="ListParagraph"/>
        <w:numPr>
          <w:ilvl w:val="0"/>
          <w:numId w:val="15"/>
        </w:numPr>
        <w:spacing w:before="0" w:after="0"/>
        <w:rPr>
          <w:b/>
          <w:bCs/>
        </w:rPr>
      </w:pPr>
      <w:r>
        <w:rPr>
          <w:b/>
          <w:bCs/>
        </w:rPr>
        <w:t>Gini Index</w:t>
      </w:r>
    </w:p>
    <w:p w14:paraId="351C4C40" w14:textId="77777777" w:rsidR="00A55400" w:rsidRDefault="00A55400" w:rsidP="00A55400">
      <w:pPr>
        <w:pStyle w:val="ListParagraph"/>
        <w:spacing w:before="0" w:after="0"/>
        <w:ind w:firstLine="0"/>
        <w:rPr>
          <w:b/>
          <w:bCs/>
        </w:rPr>
      </w:pPr>
    </w:p>
    <w:p w14:paraId="19A5FCFB" w14:textId="77777777" w:rsidR="00A55400" w:rsidRPr="00B30CB5" w:rsidRDefault="00A55400" w:rsidP="00A55400">
      <w:pPr>
        <w:pStyle w:val="ListParagraph"/>
        <w:spacing w:before="0" w:after="0"/>
        <w:ind w:firstLine="0"/>
      </w:pPr>
      <w:bookmarkStart w:id="2" w:name="_Hlk144201319"/>
      <m:oMathPara>
        <m:oMathParaPr>
          <m:jc m:val="left"/>
        </m:oMathParaPr>
        <m:oMath>
          <m:r>
            <w:rPr>
              <w:rFonts w:ascii="Cambria Math" w:eastAsiaTheme="minorEastAsia" w:hAnsi="Cambria Math"/>
              <w:sz w:val="30"/>
              <w:szCs w:val="30"/>
            </w:rPr>
            <m:t xml:space="preserve">Max </m:t>
          </m:r>
          <m:nary>
            <m:naryPr>
              <m:chr m:val="∑"/>
              <m:limLoc m:val="undOvr"/>
              <m:supHide m:val="1"/>
              <m:ctrlPr>
                <w:rPr>
                  <w:rFonts w:ascii="Cambria Math" w:hAnsi="Cambria Math"/>
                </w:rPr>
              </m:ctrlPr>
            </m:naryPr>
            <m:sub>
              <m:r>
                <w:rPr>
                  <w:rFonts w:ascii="Cambria Math" w:hAnsi="Cambria Math"/>
                </w:rPr>
                <m:t>kt</m:t>
              </m:r>
            </m:sub>
            <m:sup/>
            <m:e>
              <m:sSub>
                <m:sSubPr>
                  <m:ctrlPr>
                    <w:rPr>
                      <w:rFonts w:ascii="Cambria Math" w:hAnsi="Cambria Math"/>
                    </w:rPr>
                  </m:ctrlPr>
                </m:sSubPr>
                <m:e>
                  <m:r>
                    <w:rPr>
                      <w:rFonts w:ascii="Cambria Math" w:hAnsi="Cambria Math"/>
                    </w:rPr>
                    <m:t>X</m:t>
                  </m:r>
                </m:e>
                <m:sub>
                  <m:r>
                    <w:rPr>
                      <w:rFonts w:ascii="Cambria Math" w:hAnsi="Cambria Math"/>
                    </w:rPr>
                    <m:t>kt</m:t>
                  </m:r>
                </m:sub>
              </m:sSub>
            </m:e>
          </m:nary>
        </m:oMath>
      </m:oMathPara>
    </w:p>
    <w:p w14:paraId="0FE6F8D6" w14:textId="77777777" w:rsidR="00A55400" w:rsidRDefault="00A55400" w:rsidP="00A55400">
      <w:pPr>
        <w:pStyle w:val="ListParagraph"/>
        <w:spacing w:before="0" w:after="0"/>
        <w:ind w:firstLine="0"/>
        <w:rPr>
          <w:b/>
          <w:bCs/>
        </w:rPr>
      </w:pPr>
    </w:p>
    <w:p w14:paraId="2AE4E071" w14:textId="77777777" w:rsidR="00A55400" w:rsidRDefault="00A55400" w:rsidP="00A55400">
      <w:pPr>
        <w:spacing w:before="0" w:after="0"/>
        <w:ind w:left="360" w:firstLine="0"/>
        <w:rPr>
          <w:b/>
          <w:bCs/>
        </w:rPr>
      </w:pPr>
    </w:p>
    <w:p w14:paraId="29831975" w14:textId="5053D99C" w:rsidR="00A55400" w:rsidRPr="00AC161A" w:rsidRDefault="00000000" w:rsidP="00A55400">
      <w:pPr>
        <w:spacing w:before="0" w:after="0"/>
        <w:ind w:left="360" w:firstLine="0"/>
        <w:rPr>
          <w:rFonts w:eastAsiaTheme="minorEastAsia"/>
        </w:rPr>
      </w:pPr>
      <m:oMathPara>
        <m:oMathParaPr>
          <m:jc m:val="left"/>
        </m:oMathParaPr>
        <m:oMath>
          <m:f>
            <m:fPr>
              <m:ctrlPr>
                <w:rPr>
                  <w:rFonts w:ascii="Cambria Math" w:eastAsiaTheme="minorEastAsia" w:hAnsi="Cambria Math"/>
                  <w:i/>
                </w:rPr>
              </m:ctrlPr>
            </m:fPr>
            <m:num>
              <m:nary>
                <m:naryPr>
                  <m:chr m:val="∑"/>
                  <m:limLoc m:val="undOvr"/>
                  <m:supHide m:val="1"/>
                  <m:ctrlPr>
                    <w:rPr>
                      <w:rFonts w:ascii="Cambria Math" w:hAnsi="Cambria Math"/>
                    </w:rPr>
                  </m:ctrlPr>
                </m:naryPr>
                <m:sub>
                  <m:r>
                    <w:rPr>
                      <w:rFonts w:ascii="Cambria Math" w:hAnsi="Cambria Math"/>
                    </w:rPr>
                    <m:t>k</m:t>
                  </m:r>
                </m:sub>
                <m:sup/>
                <m:e>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k</m:t>
                          </m:r>
                        </m:e>
                        <m:sup>
                          <m:r>
                            <w:rPr>
                              <w:rFonts w:ascii="Cambria Math" w:hAnsi="Cambria Math"/>
                            </w:rPr>
                            <m:t>'</m:t>
                          </m:r>
                        </m:sup>
                      </m:sSup>
                    </m:sub>
                    <m:sup/>
                    <m:e>
                      <m:d>
                        <m:dPr>
                          <m:begChr m:val="|"/>
                          <m:endChr m:val="|"/>
                          <m:ctrlPr>
                            <w:rPr>
                              <w:rFonts w:ascii="Cambria Math" w:hAnsi="Cambria Math"/>
                              <w:i/>
                            </w:rPr>
                          </m:ctrlPr>
                        </m:dPr>
                        <m:e>
                          <m:sSub>
                            <m:sSubPr>
                              <m:ctrlPr>
                                <w:rPr>
                                  <w:rFonts w:ascii="Cambria Math" w:hAnsi="Cambria Math"/>
                                </w:rPr>
                              </m:ctrlPr>
                            </m:sSubPr>
                            <m:e>
                              <m:r>
                                <w:rPr>
                                  <w:rFonts w:ascii="Cambria Math" w:hAnsi="Cambria Math"/>
                                </w:rPr>
                                <m:t>X</m:t>
                              </m:r>
                            </m:e>
                            <m:sub>
                              <m:r>
                                <w:rPr>
                                  <w:rFonts w:ascii="Cambria Math" w:hAnsi="Cambria Math"/>
                                </w:rPr>
                                <m:t>kt</m:t>
                              </m:r>
                            </m:sub>
                          </m:sSub>
                          <m:r>
                            <w:rPr>
                              <w:rFonts w:ascii="Cambria Math" w:eastAsia="Calibri" w:hAnsi="Cambria Math"/>
                              <w:sz w:val="30"/>
                              <w:szCs w:val="30"/>
                            </w:rPr>
                            <m:t>-</m:t>
                          </m:r>
                          <m:sSub>
                            <m:sSubPr>
                              <m:ctrlPr>
                                <w:rPr>
                                  <w:rFonts w:ascii="Cambria Math" w:hAnsi="Cambria Math"/>
                                </w:rPr>
                              </m:ctrlPr>
                            </m:sSubPr>
                            <m:e>
                              <m:r>
                                <w:rPr>
                                  <w:rFonts w:ascii="Cambria Math" w:hAnsi="Cambria Math"/>
                                </w:rPr>
                                <m:t>X</m:t>
                              </m:r>
                            </m:e>
                            <m:sub>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t</m:t>
                              </m:r>
                            </m:sub>
                          </m:sSub>
                        </m:e>
                      </m:d>
                    </m:e>
                  </m:nary>
                </m:e>
              </m:nary>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w:rPr>
                      <w:rFonts w:ascii="Cambria Math" w:hAnsi="Cambria Math"/>
                    </w:rPr>
                    <m:t>kt</m:t>
                  </m:r>
                </m:sub>
              </m:sSub>
            </m:den>
          </m:f>
          <m:r>
            <w:rPr>
              <w:rFonts w:ascii="Cambria Math" w:eastAsiaTheme="minorEastAsia" w:hAnsi="Cambria Math"/>
            </w:rPr>
            <m:t>≤ε         ∀ t ∈T</m:t>
          </m:r>
        </m:oMath>
      </m:oMathPara>
    </w:p>
    <w:p w14:paraId="25745F25" w14:textId="77777777" w:rsidR="00A55400" w:rsidRDefault="00A55400" w:rsidP="00A55400">
      <w:pPr>
        <w:spacing w:before="0" w:after="0"/>
        <w:ind w:left="360" w:firstLine="0"/>
        <w:rPr>
          <w:b/>
          <w:bCs/>
        </w:rPr>
      </w:pPr>
    </w:p>
    <w:p w14:paraId="7C72C669" w14:textId="666E48FA" w:rsidR="00A55400" w:rsidRDefault="00A55400" w:rsidP="00A55400">
      <w:pPr>
        <w:spacing w:before="0" w:after="0"/>
        <w:ind w:left="360" w:firstLine="0"/>
        <w:rPr>
          <w:b/>
          <w:bCs/>
        </w:rPr>
      </w:pPr>
    </w:p>
    <w:p w14:paraId="5A329E48" w14:textId="77777777" w:rsidR="00A55400" w:rsidRDefault="00A55400" w:rsidP="00A55400">
      <w:pPr>
        <w:spacing w:before="0" w:after="0"/>
        <w:ind w:left="360" w:firstLine="0"/>
        <w:rPr>
          <w:b/>
          <w:bCs/>
        </w:rPr>
      </w:pPr>
      <w:r w:rsidRPr="0096476D">
        <w:rPr>
          <w:noProof/>
        </w:rPr>
        <w:drawing>
          <wp:inline distT="0" distB="0" distL="0" distR="0" wp14:anchorId="363E76D0" wp14:editId="1560C775">
            <wp:extent cx="2759826" cy="797671"/>
            <wp:effectExtent l="0" t="0" r="2540" b="2540"/>
            <wp:docPr id="332967533" name="Picture 332967533"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29704" name="Picture 1" descr="A black text on a white background&#10;&#10;Description automatically generated with medium confidence"/>
                    <pic:cNvPicPr/>
                  </pic:nvPicPr>
                  <pic:blipFill>
                    <a:blip r:embed="rId13"/>
                    <a:stretch>
                      <a:fillRect/>
                    </a:stretch>
                  </pic:blipFill>
                  <pic:spPr>
                    <a:xfrm>
                      <a:off x="0" y="0"/>
                      <a:ext cx="2785408" cy="805065"/>
                    </a:xfrm>
                    <a:prstGeom prst="rect">
                      <a:avLst/>
                    </a:prstGeom>
                  </pic:spPr>
                </pic:pic>
              </a:graphicData>
            </a:graphic>
          </wp:inline>
        </w:drawing>
      </w:r>
    </w:p>
    <w:bookmarkEnd w:id="2"/>
    <w:p w14:paraId="5DFAE3B5" w14:textId="77777777" w:rsidR="00A55400" w:rsidRPr="0093321C" w:rsidRDefault="00A55400" w:rsidP="00A55400">
      <w:pPr>
        <w:spacing w:before="0" w:after="0"/>
        <w:ind w:left="360" w:firstLine="0"/>
        <w:rPr>
          <w:rFonts w:eastAsiaTheme="minorEastAsia"/>
        </w:rPr>
      </w:pPr>
    </w:p>
    <w:p w14:paraId="5917839A" w14:textId="77777777" w:rsidR="00A55400" w:rsidRDefault="00A55400" w:rsidP="003E2809">
      <w:pPr>
        <w:spacing w:before="0" w:after="0"/>
      </w:pPr>
    </w:p>
    <w:p w14:paraId="270ADA88" w14:textId="77777777" w:rsidR="00A55400" w:rsidRDefault="00A55400" w:rsidP="003E2809">
      <w:pPr>
        <w:spacing w:before="0" w:after="0"/>
      </w:pPr>
    </w:p>
    <w:p w14:paraId="405AAAE5" w14:textId="77777777" w:rsidR="003E2809" w:rsidRDefault="003E2809" w:rsidP="003E2809">
      <w:pPr>
        <w:pStyle w:val="Heading1"/>
      </w:pPr>
      <w:r>
        <w:t>Data</w:t>
      </w:r>
    </w:p>
    <w:p w14:paraId="715AFC50" w14:textId="269B9323" w:rsidR="003E2809" w:rsidRDefault="003E2809" w:rsidP="003E2809">
      <w:pPr>
        <w:pStyle w:val="ListParagraph"/>
        <w:numPr>
          <w:ilvl w:val="0"/>
          <w:numId w:val="10"/>
        </w:numPr>
      </w:pPr>
      <w:r w:rsidRPr="00696D50">
        <w:rPr>
          <w:b/>
          <w:bCs/>
        </w:rPr>
        <w:lastRenderedPageBreak/>
        <w:t>Vaccine distribution and administration</w:t>
      </w:r>
      <w:r>
        <w:t xml:space="preserve">: </w:t>
      </w:r>
      <w:r w:rsidRPr="00B61D7D">
        <w:t xml:space="preserve">The data </w:t>
      </w:r>
      <w:r>
        <w:t xml:space="preserve">about </w:t>
      </w:r>
      <w:r w:rsidRPr="00B61D7D">
        <w:t xml:space="preserve">the distribution and administration of vaccines for each state and jurisdiction is obtained from </w:t>
      </w:r>
      <w:r>
        <w:fldChar w:fldCharType="begin" w:fldLock="1"/>
      </w:r>
      <w:r w:rsidR="00317095">
        <w:instrText>ADDIN CSL_CITATION {"citationItems":[{"id":"ITEM-1","itemData":{"URL":"https://data.cdc.gov/Vaccinations/COVID-19-Vaccinations-in-the-United-States-Jurisdi/unsk-b7fc","accessed":{"date-parts":[["2023","5","26"]]},"author":[{"dropping-particle":"","family":"CDC","given":"","non-dropping-particle":"","parse-names":false,"suffix":""}],"container-title":"Centers for Disease Control and Prevention","id":"ITEM-1","issued":{"date-parts":[["2022"]]},"title":"COVID-19 Vaccinations in the United States,Jurisdiction","type":"webpage"},"uris":["http://www.mendeley.com/documents/?uuid=578333e4-d9ad-390b-937f-cb79c07af3d9"]}],"mendeley":{"formattedCitation":"(CDC, 2022a)","plainTextFormattedCitation":"(CDC, 2022a)","previouslyFormattedCitation":"(CDC, 2022a)"},"properties":{"noteIndex":0},"schema":"https://github.com/citation-style-language/schema/raw/master/csl-citation.json"}</w:instrText>
      </w:r>
      <w:r>
        <w:fldChar w:fldCharType="separate"/>
      </w:r>
      <w:r w:rsidR="008D2835" w:rsidRPr="008D2835">
        <w:rPr>
          <w:noProof/>
        </w:rPr>
        <w:t>(CDC, 2022a)</w:t>
      </w:r>
      <w:r>
        <w:fldChar w:fldCharType="end"/>
      </w:r>
      <w:r w:rsidRPr="00B61D7D">
        <w:t>.</w:t>
      </w:r>
    </w:p>
    <w:p w14:paraId="4A8E8332" w14:textId="5F4F1143" w:rsidR="003E2809" w:rsidRDefault="003E2809" w:rsidP="003E2809">
      <w:pPr>
        <w:pStyle w:val="ListParagraph"/>
        <w:numPr>
          <w:ilvl w:val="0"/>
          <w:numId w:val="10"/>
        </w:numPr>
      </w:pPr>
      <w:r w:rsidRPr="00696D50">
        <w:rPr>
          <w:b/>
          <w:bCs/>
        </w:rPr>
        <w:t>Vaccine hesitancy</w:t>
      </w:r>
      <w:r>
        <w:t xml:space="preserve">: </w:t>
      </w:r>
      <w:r w:rsidRPr="00696D50">
        <w:t xml:space="preserve">The vaccine hesitancy rate at the county level is obtained from the publicly available data </w:t>
      </w:r>
      <w:r w:rsidRPr="00696D50">
        <w:fldChar w:fldCharType="begin" w:fldLock="1"/>
      </w:r>
      <w:r w:rsidR="00317095">
        <w:instrText>ADDIN CSL_CITATION {"citationItems":[{"id":"ITEM-1","itemData":{"URL":"https://aspe.hhs.gov/reports/vaccine-hesitancy-covid-19-state-county-local-estimates","accessed":{"date-parts":[["2023","5","31"]]},"container-title":"Office of the Assistant Secretary for Planning and Evaluation (ASPE)","id":"ITEM-1","issued":{"date-parts":[["2021"]]},"title":"Vaccine Hesitancy for COVID-19: State, County, and Local Estimates | ASPE","type":"webpage"},"uris":["http://www.mendeley.com/documents/?uuid=6de4824e-d6e1-336e-994b-70bdc51bc8b5"]}],"mendeley":{"formattedCitation":"(&lt;i&gt;Vaccine Hesitancy for COVID-19: State, County, and Local Estimates | ASPE&lt;/i&gt;, 2021)","plainTextFormattedCitation":"(Vaccine Hesitancy for COVID-19: State, County, and Local Estimates | ASPE, 2021)","previouslyFormattedCitation":"(&lt;i&gt;Vaccine Hesitancy for COVID-19: State, County, and Local Estimates | ASPE&lt;/i&gt;, 2021)"},"properties":{"noteIndex":0},"schema":"https://github.com/citation-style-language/schema/raw/master/csl-citation.json"}</w:instrText>
      </w:r>
      <w:r w:rsidRPr="00696D50">
        <w:fldChar w:fldCharType="separate"/>
      </w:r>
      <w:r w:rsidR="008D2835" w:rsidRPr="008D2835">
        <w:rPr>
          <w:noProof/>
        </w:rPr>
        <w:t>(</w:t>
      </w:r>
      <w:r w:rsidR="008D2835" w:rsidRPr="008D2835">
        <w:rPr>
          <w:i/>
          <w:noProof/>
        </w:rPr>
        <w:t>Vaccine Hesitancy for COVID-19: State, County, and Local Estimates | ASPE</w:t>
      </w:r>
      <w:r w:rsidR="008D2835" w:rsidRPr="008D2835">
        <w:rPr>
          <w:noProof/>
        </w:rPr>
        <w:t>, 2021)</w:t>
      </w:r>
      <w:r w:rsidRPr="00696D50">
        <w:fldChar w:fldCharType="end"/>
      </w:r>
      <w:r w:rsidRPr="00696D50">
        <w:t>. We assume that the vaccine hesitancy rate for each county decreases</w:t>
      </w:r>
      <w:r>
        <w:t xml:space="preserve"> by</w:t>
      </w:r>
      <w:r w:rsidRPr="00696D50">
        <w:t xml:space="preserve"> 0.</w:t>
      </w:r>
      <w:r>
        <w:t>00</w:t>
      </w:r>
      <w:r w:rsidRPr="00696D50">
        <w:t>5 per week.</w:t>
      </w:r>
    </w:p>
    <w:p w14:paraId="584BF200" w14:textId="77777777" w:rsidR="003E2809" w:rsidRDefault="003E2809" w:rsidP="003E2809">
      <w:pPr>
        <w:pStyle w:val="ListParagraph"/>
      </w:pPr>
    </w:p>
    <w:p w14:paraId="748FC5DC" w14:textId="6B31FB8E" w:rsidR="003E2809" w:rsidRPr="00DD3378" w:rsidRDefault="003E2809" w:rsidP="003E2809">
      <w:pPr>
        <w:pStyle w:val="ListParagraph"/>
        <w:numPr>
          <w:ilvl w:val="0"/>
          <w:numId w:val="10"/>
        </w:numPr>
      </w:pPr>
      <w:r w:rsidRPr="00DD3378">
        <w:rPr>
          <w:b/>
          <w:bCs/>
        </w:rPr>
        <w:t>Vaccination capacity</w:t>
      </w:r>
      <w:r w:rsidRPr="00DD3378">
        <w:t xml:space="preserve">: To determine the vaccination capacity at the county level, we utilized the methodology proposed by </w:t>
      </w:r>
      <w:r w:rsidRPr="00DD3378">
        <w:fldChar w:fldCharType="begin" w:fldLock="1"/>
      </w:r>
      <w:r w:rsidR="00317095">
        <w:instrText>ADDIN CSL_CITATION {"citationItems":[{"id":"ITEM-1","itemData":{"DOI":"10.1016/j.omega.2023.102898","ISSN":"0305-0483","author":[{"dropping-particle":"","family":"Orgut","given":"Irem Sengul","non-dropping-particle":"","parse-names":false,"suffix":""},{"dropping-particle":"","family":"Freeman","given":"Nickolas","non-dropping-particle":"","parse-names":false,"suffix":""},{"dropping-particle":"","family":"Lewis","given":"Dwight","non-dropping-particle":"","parse-names":false,"suffix":""},{"dropping-particle":"","family":"Parton","given":"Jason","non-dropping-particle":"","parse-names":false,"suffix":""}],"container-title":"Omega","id":"ITEM-1","issued":{"date-parts":[["2023"]]},"page":"102898","publisher":"Elsevier Ltd","title":"Equitable and Effective Vaccine Access Considering Vaccine Hesitancy and Capacity Constraints","type":"article-journal"},"uris":["http://www.mendeley.com/documents/?uuid=fd23d274-6471-4b2e-b1de-8633b6c76c0c"]}],"mendeley":{"formattedCitation":"(Orgut et al., 2023)","plainTextFormattedCitation":"(Orgut et al., 2023)","previouslyFormattedCitation":"(Orgut et al., 2023)"},"properties":{"noteIndex":0},"schema":"https://github.com/citation-style-language/schema/raw/master/csl-citation.json"}</w:instrText>
      </w:r>
      <w:r w:rsidRPr="00DD3378">
        <w:fldChar w:fldCharType="separate"/>
      </w:r>
      <w:r w:rsidR="008D2835" w:rsidRPr="008D2835">
        <w:rPr>
          <w:noProof/>
        </w:rPr>
        <w:t>(Orgut et al., 2023)</w:t>
      </w:r>
      <w:r w:rsidRPr="00DD3378">
        <w:fldChar w:fldCharType="end"/>
      </w:r>
      <w:r w:rsidRPr="00DD3378">
        <w:t>. Specifically, we estimated the vaccination capacity for each county as the 90th percentile of the number of vaccines administered during the first 15 weeks of 2021.</w:t>
      </w:r>
      <w:r>
        <w:t xml:space="preserve"> </w:t>
      </w:r>
      <w:r w:rsidRPr="00DD3378">
        <w:t xml:space="preserve">The data on administered vaccines at the county level </w:t>
      </w:r>
      <w:r>
        <w:t>is accessible at</w:t>
      </w:r>
      <w:r w:rsidRPr="00DD3378">
        <w:t xml:space="preserve"> </w:t>
      </w:r>
      <w:r>
        <w:fldChar w:fldCharType="begin" w:fldLock="1"/>
      </w:r>
      <w:r w:rsidR="00317095">
        <w:instrText>ADDIN CSL_CITATION {"citationItems":[{"id":"ITEM-1","itemData":{"URL":"https://data.cdc.gov/Vaccinations/COVID-19-Vaccinations-in-the-United-States-County/8xkx-amqh","accessed":{"date-parts":[["2023","6","16"]]},"author":[{"dropping-particle":"","family":"CDC","given":"","non-dropping-particle":"","parse-names":false,"suffix":""}],"container-title":"Centers for Disease Control and Prevention","id":"ITEM-1","issued":{"date-parts":[["2023"]]},"title":"COVID-19 Vaccinations in the United States,County","type":"webpage"},"uris":["http://www.mendeley.com/documents/?uuid=4bf68b30-515b-372a-8257-f7d463fd0eff"]}],"mendeley":{"formattedCitation":"(CDC, 2023)","plainTextFormattedCitation":"(CDC, 2023)","previouslyFormattedCitation":"(CDC, 2023)"},"properties":{"noteIndex":0},"schema":"https://github.com/citation-style-language/schema/raw/master/csl-citation.json"}</w:instrText>
      </w:r>
      <w:r>
        <w:fldChar w:fldCharType="separate"/>
      </w:r>
      <w:r w:rsidR="008D2835" w:rsidRPr="008D2835">
        <w:rPr>
          <w:noProof/>
        </w:rPr>
        <w:t>(CDC, 2023)</w:t>
      </w:r>
      <w:r>
        <w:fldChar w:fldCharType="end"/>
      </w:r>
    </w:p>
    <w:p w14:paraId="4AA67D49" w14:textId="77777777" w:rsidR="003E2809" w:rsidRPr="00DD3378" w:rsidRDefault="003E2809" w:rsidP="003E2809">
      <w:pPr>
        <w:pStyle w:val="ListParagraph"/>
      </w:pPr>
    </w:p>
    <w:p w14:paraId="702136CD" w14:textId="149213A1" w:rsidR="003E2809" w:rsidRDefault="003E2809" w:rsidP="00290DC8">
      <w:pPr>
        <w:pStyle w:val="ListParagraph"/>
        <w:ind w:firstLine="0"/>
      </w:pPr>
      <w:r w:rsidRPr="00696D50">
        <w:t>Since data regarding the vaccination capacity for each state is not available, we assume that the weekly vaccination capacity for each specific vaccine type within each state is equal to the number of administered vaccines of that specific type</w:t>
      </w:r>
      <w:r>
        <w:t xml:space="preserve"> </w:t>
      </w:r>
      <w:r>
        <w:fldChar w:fldCharType="begin" w:fldLock="1"/>
      </w:r>
      <w:r w:rsidR="00317095">
        <w:instrText>ADDIN CSL_CITATION {"citationItems":[{"id":"ITEM-1","itemData":{"URL":"https://data.cdc.gov/Vaccinations/COVID-19-Vaccinations-in-the-United-States-Jurisdi/unsk-b7fc","accessed":{"date-parts":[["2023","5","26"]]},"author":[{"dropping-particle":"","family":"CDC","given":"","non-dropping-particle":"","parse-names":false,"suffix":""}],"container-title":"Centers for Disease Control and Prevention","id":"ITEM-1","issued":{"date-parts":[["2022"]]},"title":"COVID-19 Vaccinations in the United States,Jurisdiction","type":"webpage"},"uris":["http://www.mendeley.com/documents/?uuid=578333e4-d9ad-390b-937f-cb79c07af3d9"]}],"mendeley":{"formattedCitation":"(CDC, 2022a)","plainTextFormattedCitation":"(CDC, 2022a)","previouslyFormattedCitation":"(CDC, 2022a)"},"properties":{"noteIndex":0},"schema":"https://github.com/citation-style-language/schema/raw/master/csl-citation.json"}</w:instrText>
      </w:r>
      <w:r>
        <w:fldChar w:fldCharType="separate"/>
      </w:r>
      <w:r w:rsidR="008D2835" w:rsidRPr="008D2835">
        <w:rPr>
          <w:noProof/>
        </w:rPr>
        <w:t>(CDC, 2022a)</w:t>
      </w:r>
      <w:r>
        <w:fldChar w:fldCharType="end"/>
      </w:r>
      <w:r w:rsidRPr="00696D50">
        <w:t>.</w:t>
      </w:r>
    </w:p>
    <w:p w14:paraId="45405C25" w14:textId="77777777" w:rsidR="003E2809" w:rsidRDefault="003E2809" w:rsidP="003E2809">
      <w:pPr>
        <w:pStyle w:val="ListParagraph"/>
      </w:pPr>
    </w:p>
    <w:p w14:paraId="511BD314" w14:textId="31173FE6" w:rsidR="003E2809" w:rsidRDefault="003E2809" w:rsidP="003E2809">
      <w:pPr>
        <w:pStyle w:val="ListParagraph"/>
        <w:numPr>
          <w:ilvl w:val="0"/>
          <w:numId w:val="10"/>
        </w:numPr>
      </w:pPr>
      <w:r w:rsidRPr="00CD6074">
        <w:rPr>
          <w:b/>
          <w:bCs/>
        </w:rPr>
        <w:t>Vaccine supply</w:t>
      </w:r>
      <w:r w:rsidRPr="00CD6074">
        <w:t>: To determine the weekly supply of each vaccine type, we assume it is equal to the combined quantity of those vaccine types distributed among different jurisdictions in the United States</w:t>
      </w:r>
      <w:r>
        <w:t xml:space="preserve"> </w:t>
      </w:r>
      <w:r>
        <w:fldChar w:fldCharType="begin" w:fldLock="1"/>
      </w:r>
      <w:r w:rsidR="00317095">
        <w:instrText>ADDIN CSL_CITATION {"citationItems":[{"id":"ITEM-1","itemData":{"URL":"https://data.cdc.gov/Vaccinations/COVID-19-Vaccinations-in-the-United-States-Jurisdi/unsk-b7fc","accessed":{"date-parts":[["2023","5","26"]]},"author":[{"dropping-particle":"","family":"CDC","given":"","non-dropping-particle":"","parse-names":false,"suffix":""}],"container-title":"Centers for Disease Control and Prevention","id":"ITEM-1","issued":{"date-parts":[["2022"]]},"title":"COVID-19 Vaccinations in the United States,Jurisdiction","type":"webpage"},"uris":["http://www.mendeley.com/documents/?uuid=578333e4-d9ad-390b-937f-cb79c07af3d9"]}],"mendeley":{"formattedCitation":"(CDC, 2022a)","plainTextFormattedCitation":"(CDC, 2022a)","previouslyFormattedCitation":"(CDC, 2022a)"},"properties":{"noteIndex":0},"schema":"https://github.com/citation-style-language/schema/raw/master/csl-citation.json"}</w:instrText>
      </w:r>
      <w:r>
        <w:fldChar w:fldCharType="separate"/>
      </w:r>
      <w:r w:rsidR="008D2835" w:rsidRPr="008D2835">
        <w:rPr>
          <w:noProof/>
        </w:rPr>
        <w:t>(CDC, 2022a)</w:t>
      </w:r>
      <w:r>
        <w:fldChar w:fldCharType="end"/>
      </w:r>
      <w:r w:rsidRPr="00CD6074">
        <w:t>.</w:t>
      </w:r>
    </w:p>
    <w:p w14:paraId="4FEF3601" w14:textId="3EF07379" w:rsidR="00B5227C" w:rsidRPr="00B5227C" w:rsidRDefault="00B5227C" w:rsidP="00B5227C">
      <w:pPr>
        <w:pStyle w:val="ListParagraph"/>
        <w:numPr>
          <w:ilvl w:val="0"/>
          <w:numId w:val="10"/>
        </w:numPr>
        <w:autoSpaceDE/>
        <w:autoSpaceDN/>
        <w:adjustRightInd/>
        <w:jc w:val="left"/>
        <w:rPr>
          <w:rFonts w:ascii="Times New Roman" w:eastAsia="Times New Roman" w:hAnsi="Times New Roman" w:cs="Times New Roman"/>
          <w:sz w:val="36"/>
        </w:rPr>
      </w:pPr>
      <w:r w:rsidRPr="00B5227C">
        <w:rPr>
          <w:b/>
          <w:bCs/>
        </w:rPr>
        <w:t>Social vulnerability index</w:t>
      </w:r>
      <w:r w:rsidRPr="00B5227C">
        <w:rPr>
          <w:rFonts w:ascii="Times New Roman" w:eastAsia="Calibri" w:hAnsi="Times New Roman" w:cstheme="minorBidi"/>
          <w:b/>
          <w:bCs/>
          <w:color w:val="000000" w:themeColor="text1"/>
          <w:kern w:val="24"/>
          <w:sz w:val="36"/>
          <w:szCs w:val="36"/>
        </w:rPr>
        <w:t xml:space="preserve"> </w:t>
      </w:r>
      <w:hyperlink r:id="rId14" w:history="1">
        <w:r w:rsidRPr="00B5227C">
          <w:rPr>
            <w:rFonts w:ascii="Times New Roman" w:eastAsia="Calibri" w:hAnsi="Times New Roman" w:cstheme="minorBidi"/>
            <w:color w:val="000000" w:themeColor="text1"/>
            <w:kern w:val="24"/>
            <w:u w:val="single"/>
          </w:rPr>
          <w:t>https://www.atsdr.cdc.gov/placeandhealth/svi/interactive_map.html</w:t>
        </w:r>
      </w:hyperlink>
      <w:r w:rsidRPr="00B5227C">
        <w:rPr>
          <w:rFonts w:ascii="Times New Roman" w:eastAsia="Calibri" w:hAnsi="Times New Roman" w:cstheme="minorBidi"/>
          <w:color w:val="000000" w:themeColor="text1"/>
          <w:kern w:val="24"/>
        </w:rPr>
        <w:t>)</w:t>
      </w:r>
    </w:p>
    <w:p w14:paraId="337D85BA" w14:textId="77777777" w:rsidR="003E2809" w:rsidRPr="008D466B" w:rsidRDefault="003E2809" w:rsidP="003E2809">
      <w:pPr>
        <w:pStyle w:val="ListParagraph"/>
      </w:pPr>
    </w:p>
    <w:p w14:paraId="717FF3C7" w14:textId="03652EC5" w:rsidR="003E2809" w:rsidRPr="00696D50" w:rsidRDefault="003E2809" w:rsidP="003E2809">
      <w:pPr>
        <w:pStyle w:val="ListParagraph"/>
        <w:numPr>
          <w:ilvl w:val="0"/>
          <w:numId w:val="10"/>
        </w:numPr>
        <w:rPr>
          <w:rtl/>
        </w:rPr>
      </w:pPr>
      <w:r w:rsidRPr="00696D50">
        <w:rPr>
          <w:b/>
          <w:bCs/>
        </w:rPr>
        <w:t>Eligible population</w:t>
      </w:r>
      <w:r>
        <w:t xml:space="preserve">: According to the </w:t>
      </w:r>
      <w:r w:rsidRPr="00696D50">
        <w:t xml:space="preserve">CDC recommendations, the targeted population for Phase 1 COVID-19 vaccination includes healthcare personnel, non-healthcare essential workers, adults with high-risk medical conditions, and adults over 65 years old </w:t>
      </w:r>
      <w:r w:rsidRPr="00696D50">
        <w:fldChar w:fldCharType="begin" w:fldLock="1"/>
      </w:r>
      <w:r w:rsidR="00317095">
        <w:instrText>ADDIN CSL_CITATION {"citationItems":[{"id":"ITEM-1","itemData":{"URL":"https://www.cdc.gov/mmwr/volumes/69/wr/mm695152e2.htm#T1_down","accessed":{"date-parts":[["2023","5","30"]]},"author":[{"dropping-particle":"","family":"Dooling","given":"Kathleen","non-dropping-particle":"","parse-names":false,"suffix":""},{"dropping-particle":"","family":"McClung","given":"Nancy","non-dropping-particle":"","parse-names":false,"suffix":""},{"dropping-particle":"","family":"Chamberland","given":"Mary","non-dropping-particle":"","parse-names":false,"suffix":""},{"dropping-particle":"","family":"Marin,","given":"Mona","non-dropping-particle":"","parse-names":false,"suffix":""},{"dropping-particle":"","family":"Wallace","given":"Megan","non-dropping-particle":"","parse-names":false,"suffix":""},{"dropping-particle":"","family":"Bell","given":"Beth P.","non-dropping-particle":"","parse-names":false,"suffix":""},{"dropping-particle":"","family":"Lee","given":"Grace M.","non-dropping-particle":"","parse-names":false,"suffix":""},{"dropping-particle":"","family":"Talbot","given":"H. Keipp","non-dropping-particle":"","parse-names":false,"suffix":""},{"dropping-particle":"","family":"Romero","given":"José R.","non-dropping-particle":"","parse-names":false,"suffix":""},{"dropping-particle":"","family":"Oliver","given":"Sara E.","non-dropping-particle":"","parse-names":false,"suffix":""}],"container-title":"Centers for Disease Control and Prevention","id":"ITEM-1","issued":{"date-parts":[["2021"]]},"title":"The Advisory Committee on Immunization Practices’ Updated Interim Recommendation for Allocation of COVID-19 Vaccine — United States, December 2020","type":"webpage"},"uris":["http://www.mendeley.com/documents/?uuid=f8d8c05e-5334-3138-b3c0-5839f0ea71c8"]}],"mendeley":{"formattedCitation":"(Dooling et al., 2021)","plainTextFormattedCitation":"(Dooling et al., 2021)","previouslyFormattedCitation":"(Dooling et al., 2021)"},"properties":{"noteIndex":0},"schema":"https://github.com/citation-style-language/schema/raw/master/csl-citation.json"}</w:instrText>
      </w:r>
      <w:r w:rsidRPr="00696D50">
        <w:fldChar w:fldCharType="separate"/>
      </w:r>
      <w:r w:rsidR="008D2835" w:rsidRPr="008D2835">
        <w:rPr>
          <w:noProof/>
        </w:rPr>
        <w:t>(Dooling et al., 2021)</w:t>
      </w:r>
      <w:r w:rsidRPr="00696D50">
        <w:fldChar w:fldCharType="end"/>
      </w:r>
      <w:r w:rsidRPr="00696D50">
        <w:t xml:space="preserve">. Phase 1 was further divided into three subcategories: phases 1a, 1b, and 1c, with each phase lasting approximately five weeks </w:t>
      </w:r>
      <w:r w:rsidRPr="00696D50">
        <w:fldChar w:fldCharType="begin" w:fldLock="1"/>
      </w:r>
      <w:r w:rsidR="00317095">
        <w:instrText>ADDIN CSL_CITATION {"citationItems":[{"id":"ITEM-1","itemData":{"author":[{"dropping-particle":"","family":"Dooling","given":"Kathleen","non-dropping-particle":"","parse-names":false,"suffix":""}],"id":"ITEM-1","issued":{"date-parts":[["2020"]]},"title":"Phased Allocation of COVID-19 Vaccines ACIP COVID-19 Vaccines Work Group","type":"report"},"uris":["http://www.mendeley.com/documents/?uuid=f9017a71-914b-3250-bd74-baef9dde5ab3"]}],"mendeley":{"formattedCitation":"(Dooling, 2020)","plainTextFormattedCitation":"(Dooling, 2020)","previouslyFormattedCitation":"(Dooling, 2020)"},"properties":{"noteIndex":0},"schema":"https://github.com/citation-style-language/schema/raw/master/csl-citation.json"}</w:instrText>
      </w:r>
      <w:r w:rsidRPr="00696D50">
        <w:fldChar w:fldCharType="separate"/>
      </w:r>
      <w:r w:rsidR="008D2835" w:rsidRPr="008D2835">
        <w:rPr>
          <w:noProof/>
        </w:rPr>
        <w:t>(Dooling, 2020)</w:t>
      </w:r>
      <w:r w:rsidRPr="00696D50">
        <w:fldChar w:fldCharType="end"/>
      </w:r>
      <w:r w:rsidRPr="00696D50">
        <w:t xml:space="preserve">. Based on the total population of about 331,500,000, it is estimated that 24 million, 49 million, and 129 million unique individuals are eligible for vaccination in phases 1a, 1b, and 1c, respectively </w:t>
      </w:r>
      <w:r w:rsidRPr="00696D50">
        <w:fldChar w:fldCharType="begin" w:fldLock="1"/>
      </w:r>
      <w:r w:rsidR="00317095">
        <w:instrText>ADDIN CSL_CITATION {"citationItems":[{"id":"ITEM-1","itemData":{"URL":"https://www.cdc.gov/mmwr/volumes/69/wr/mm695152e2.htm#T1_down","accessed":{"date-parts":[["2023","5","30"]]},"author":[{"dropping-particle":"","family":"Dooling","given":"Kathleen","non-dropping-particle":"","parse-names":false,"suffix":""},{"dropping-particle":"","family":"McClung","given":"Nancy","non-dropping-particle":"","parse-names":false,"suffix":""},{"dropping-particle":"","family":"Chamberland","given":"Mary","non-dropping-particle":"","parse-names":false,"suffix":""},{"dropping-particle":"","family":"Marin,","given":"Mona","non-dropping-particle":"","parse-names":false,"suffix":""},{"dropping-particle":"","family":"Wallace","given":"Megan","non-dropping-particle":"","parse-names":false,"suffix":""},{"dropping-particle":"","family":"Bell","given":"Beth P.","non-dropping-particle":"","parse-names":false,"suffix":""},{"dropping-particle":"","family":"Lee","given":"Grace M.","non-dropping-particle":"","parse-names":false,"suffix":""},{"dropping-particle":"","family":"Talbot","given":"H. Keipp","non-dropping-particle":"","parse-names":false,"suffix":""},{"dropping-particle":"","family":"Romero","given":"José R.","non-dropping-particle":"","parse-names":false,"suffix":""},{"dropping-particle":"","family":"Oliver","given":"Sara E.","non-dropping-particle":"","parse-names":false,"suffix":""}],"container-title":"Centers for Disease Control and Prevention","id":"ITEM-1","issued":{"date-parts":[["2021"]]},"title":"The Advisory Committee on Immunization Practices’ Updated Interim Recommendation for Allocation of COVID-19 Vaccine — United States, December 2020","type":"webpage"},"uris":["http://www.mendeley.com/documents/?uuid=f8d8c05e-5334-3138-b3c0-5839f0ea71c8"]},{"id":"ITEM-2","itemData":{"URL":"https://www.census.gov/data/datasets/time-series/demo/popest/2020s-counties-detail.html","accessed":{"date-parts":[["2023","5","30"]]},"container-title":"United States Census Bureau","id":"ITEM-2","issued":{"date-parts":[["2021"]]},"title":"County Population by Characteristics: 2020-2021","type":"webpage"},"uris":["http://www.mendeley.com/documents/?uuid=03c83156-fabc-32f2-8f9a-86e58426bbf3"]}],"mendeley":{"formattedCitation":"(&lt;i&gt;County Population by Characteristics: 2020-2021&lt;/i&gt;, 2021; Dooling et al., 2021)","plainTextFormattedCitation":"(County Population by Characteristics: 2020-2021, 2021; Dooling et al., 2021)","previouslyFormattedCitation":"(&lt;i&gt;County Population by Characteristics: 2020-2021&lt;/i&gt;, 2021; Dooling et al., 2021)"},"properties":{"noteIndex":0},"schema":"https://github.com/citation-style-language/schema/raw/master/csl-citation.json"}</w:instrText>
      </w:r>
      <w:r w:rsidRPr="00696D50">
        <w:fldChar w:fldCharType="separate"/>
      </w:r>
      <w:r w:rsidR="008D2835" w:rsidRPr="008D2835">
        <w:rPr>
          <w:noProof/>
        </w:rPr>
        <w:t>(</w:t>
      </w:r>
      <w:r w:rsidR="008D2835" w:rsidRPr="008D2835">
        <w:rPr>
          <w:i/>
          <w:noProof/>
        </w:rPr>
        <w:t>County Population by Characteristics: 2020-2021</w:t>
      </w:r>
      <w:r w:rsidR="008D2835" w:rsidRPr="008D2835">
        <w:rPr>
          <w:noProof/>
        </w:rPr>
        <w:t>, 2021; Dooling et al., 2021)</w:t>
      </w:r>
      <w:r w:rsidRPr="00696D50">
        <w:fldChar w:fldCharType="end"/>
      </w:r>
      <w:r w:rsidRPr="00696D50">
        <w:t>. As detailed data regarding the number of eligible individuals for vaccination in each county is unavailable, we utilized the aforementioned information to estimate that approximately 7.2%, 14.8%, and 38.9% of the population in each county qualifies for vaccination during phases 1a, 1b, and 1c, respectively. Overall, a total of 60.9% of the population becomes eligible for vaccination during phase 1.</w:t>
      </w:r>
    </w:p>
    <w:p w14:paraId="0BDD3676" w14:textId="6DF0FF53" w:rsidR="00B855D1" w:rsidRPr="00290DC8" w:rsidRDefault="00FE6ED9" w:rsidP="00290DC8">
      <w:pPr>
        <w:pStyle w:val="ListParagraph"/>
        <w:numPr>
          <w:ilvl w:val="0"/>
          <w:numId w:val="10"/>
        </w:numPr>
        <w:rPr>
          <w:b/>
          <w:bCs/>
        </w:rPr>
      </w:pPr>
      <w:r w:rsidRPr="00FE6ED9">
        <w:rPr>
          <w:b/>
          <w:bCs/>
        </w:rPr>
        <w:t xml:space="preserve">Hospitalization and mortality by county </w:t>
      </w:r>
      <w:r w:rsidR="00B855D1">
        <w:t xml:space="preserve">is downloaded from </w:t>
      </w:r>
      <w:hyperlink r:id="rId15" w:history="1">
        <w:r w:rsidR="00B855D1" w:rsidRPr="00F22A51">
          <w:rPr>
            <w:rStyle w:val="Hyperlink"/>
          </w:rPr>
          <w:t>https://data.cdc.gov/Case-Surveillance/COVID-19-Case-Surveillance-Public-Use-Data-with-Ge/n8mc-b4w4</w:t>
        </w:r>
      </w:hyperlink>
    </w:p>
    <w:p w14:paraId="7E087023" w14:textId="208531C8" w:rsidR="00C54D7D" w:rsidRPr="00A902E2" w:rsidRDefault="00C54D7D" w:rsidP="00F60899">
      <w:pPr>
        <w:pStyle w:val="ListParagraph"/>
        <w:numPr>
          <w:ilvl w:val="0"/>
          <w:numId w:val="10"/>
        </w:numPr>
      </w:pPr>
      <w:r w:rsidRPr="00C54D7D">
        <w:rPr>
          <w:b/>
          <w:bCs/>
        </w:rPr>
        <w:t xml:space="preserve">Estimate of minimum threshold: </w:t>
      </w:r>
      <w:r w:rsidRPr="00A902E2">
        <w:t xml:space="preserve">For estimating </w:t>
      </w:r>
      <m:oMath>
        <m:sSub>
          <m:sSubPr>
            <m:ctrlPr>
              <w:rPr>
                <w:rFonts w:ascii="Cambria Math" w:hAnsi="Cambria Math"/>
                <w:i/>
              </w:rPr>
            </m:ctrlPr>
          </m:sSubPr>
          <m:e>
            <m:r>
              <w:rPr>
                <w:rFonts w:ascii="Cambria Math" w:hAnsi="Cambria Math"/>
              </w:rPr>
              <m:t>φ</m:t>
            </m:r>
          </m:e>
          <m:sub>
            <m:r>
              <w:rPr>
                <w:rFonts w:ascii="Cambria Math" w:hAnsi="Cambria Math"/>
              </w:rPr>
              <m:t>kt</m:t>
            </m:r>
          </m:sub>
        </m:sSub>
      </m:oMath>
      <w:r w:rsidRPr="00A902E2">
        <w:rPr>
          <w:rFonts w:eastAsiaTheme="minorEastAsia"/>
        </w:rPr>
        <w:t xml:space="preserve">, we have </w:t>
      </w:r>
      <w:r w:rsidR="00A902E2" w:rsidRPr="00A902E2">
        <w:rPr>
          <w:rFonts w:eastAsiaTheme="minorEastAsia"/>
        </w:rPr>
        <w:t>ad</w:t>
      </w:r>
      <w:r w:rsidR="00A902E2">
        <w:rPr>
          <w:rFonts w:eastAsiaTheme="minorEastAsia"/>
        </w:rPr>
        <w:t>o</w:t>
      </w:r>
      <w:r w:rsidR="00A902E2" w:rsidRPr="00A902E2">
        <w:rPr>
          <w:rFonts w:eastAsiaTheme="minorEastAsia"/>
        </w:rPr>
        <w:t xml:space="preserve">pted the </w:t>
      </w:r>
      <w:r w:rsidR="00A902E2">
        <w:rPr>
          <w:rFonts w:eastAsiaTheme="minorEastAsia"/>
        </w:rPr>
        <w:t>approach</w:t>
      </w:r>
      <w:r w:rsidR="00A902E2" w:rsidRPr="00A902E2">
        <w:rPr>
          <w:rFonts w:eastAsiaTheme="minorEastAsia"/>
        </w:rPr>
        <w:t xml:space="preserve"> proposed by </w:t>
      </w:r>
      <w:r w:rsidR="00A902E2" w:rsidRPr="00A902E2">
        <w:rPr>
          <w:rFonts w:eastAsiaTheme="minorEastAsia"/>
        </w:rPr>
        <w:fldChar w:fldCharType="begin" w:fldLock="1"/>
      </w:r>
      <w:r w:rsidR="00E060F1">
        <w:rPr>
          <w:rFonts w:eastAsiaTheme="minorEastAsia"/>
        </w:rPr>
        <w:instrText>ADDIN CSL_CITATION {"citationItems":[{"id":"ITEM-1","itemData":{"DOI":"10.1016/j.seps.2023.101559","ISSN":"00380121","abstract":"This work presents a multi-objective optimization strategy for fair vaccine allocation through different fairness schemes. The proposed approach considers a diverse series of parameters related to different public health data and social behaviors that influence the correct distribution of vaccines, such as corruption and crime. Simultaneously, the formulation includes prioritizing those groups with the highest risk based on the epidemiological traffic light. Furthermore, the presented strategy involves different budget constraints that allow identifying trade-off solutions through Pareto fronts. Therefore, vaccine allocations are obtained by combining fairness concepts with multi-objective optimization. The applicability of the model is illustrated using the case study of Mexico. The solution to the proposed scenarios was carried out using different justice schemes and an economic objective function. The results show the compromises between a satisfaction index and costs, which are shown through Pareto optimal solutions that allow selecting the solutions that balance the objectives. The solutions provided by the social welfare scheme suggest a greater allocation of vaccines to those states with higher epidemiological risk, which may be helpful in the first stage of vaccination. On the other hand, the Rawlsian scheme provides more balanced solutions that can be useful in situations with lower rates of infection. Finally, the Nash scheme is the one that provides the most balanced solutions, favoring to a lesser extent the areas with the highest epidemiological risk, which may be useful in the later stages of vaccination.","author":[{"dropping-particle":"","family":"Ochoa-Barragán","given":"Rogelio","non-dropping-particle":"","parse-names":false,"suffix":""},{"dropping-particle":"","family":"Munguía-López","given":"Aurora del Carmen","non-dropping-particle":"","parse-names":false,"suffix":""},{"dropping-particle":"","family":"Ponce-Ortega","given":"José María","non-dropping-particle":"","parse-names":false,"suffix":""}],"container-title":"Socio-Economic Planning Sciences","id":"ITEM-1","issue":"March","issued":{"date-parts":[["2023"]]},"title":"Strategic planning for the optimal distribution of COVID-19 vaccines","type":"article-journal","volume":"87"},"uris":["http://www.mendeley.com/documents/?uuid=44c85911-2143-4f89-8757-4c46638a4c66"]}],"mendeley":{"formattedCitation":"(Ochoa-Barragán et al., 2023)","plainTextFormattedCitation":"(Ochoa-Barragán et al., 2023)","previouslyFormattedCitation":"(Ochoa-Barragán et al., 2023)"},"properties":{"noteIndex":0},"schema":"https://github.com/citation-style-language/schema/raw/master/csl-citation.json"}</w:instrText>
      </w:r>
      <w:r w:rsidR="00A902E2" w:rsidRPr="00A902E2">
        <w:rPr>
          <w:rFonts w:eastAsiaTheme="minorEastAsia"/>
        </w:rPr>
        <w:fldChar w:fldCharType="separate"/>
      </w:r>
      <w:r w:rsidR="00A902E2" w:rsidRPr="00A902E2">
        <w:rPr>
          <w:rFonts w:eastAsiaTheme="minorEastAsia"/>
          <w:noProof/>
        </w:rPr>
        <w:t>(Ochoa-Barragán et al., 2023)</w:t>
      </w:r>
      <w:r w:rsidR="00A902E2" w:rsidRPr="00A902E2">
        <w:rPr>
          <w:rFonts w:eastAsiaTheme="minorEastAsia"/>
        </w:rPr>
        <w:fldChar w:fldCharType="end"/>
      </w:r>
      <w:r w:rsidR="00A902E2">
        <w:rPr>
          <w:rFonts w:eastAsiaTheme="minorEastAsia"/>
        </w:rPr>
        <w:t xml:space="preserve"> as presented by following formula.</w:t>
      </w:r>
    </w:p>
    <w:p w14:paraId="0E420E84" w14:textId="77777777" w:rsidR="00A902E2" w:rsidRDefault="00A902E2" w:rsidP="00A902E2">
      <w:pPr>
        <w:pStyle w:val="ListParagraph"/>
        <w:ind w:firstLine="0"/>
      </w:pPr>
    </w:p>
    <w:p w14:paraId="0CF43BE2" w14:textId="052CBE5C" w:rsidR="00A902E2" w:rsidRPr="00A902E2" w:rsidRDefault="00000000" w:rsidP="00A902E2">
      <w:pPr>
        <w:pStyle w:val="ListParagraph"/>
        <w:ind w:firstLine="0"/>
        <w:rPr>
          <w:rFonts w:eastAsiaTheme="minorEastAsia"/>
        </w:rPr>
      </w:pPr>
      <m:oMathPara>
        <m:oMath>
          <m:sSub>
            <m:sSubPr>
              <m:ctrlPr>
                <w:rPr>
                  <w:rFonts w:ascii="Cambria Math" w:hAnsi="Cambria Math"/>
                  <w:i/>
                </w:rPr>
              </m:ctrlPr>
            </m:sSubPr>
            <m:e>
              <m:r>
                <w:rPr>
                  <w:rFonts w:ascii="Cambria Math" w:hAnsi="Cambria Math"/>
                </w:rPr>
                <m:t>φ</m:t>
              </m:r>
            </m:e>
            <m:sub>
              <m:r>
                <w:rPr>
                  <w:rFonts w:ascii="Cambria Math" w:hAnsi="Cambria Math"/>
                </w:rPr>
                <m:t>kt</m:t>
              </m:r>
            </m:sub>
          </m:sSub>
          <m:r>
            <w:rPr>
              <w:rFonts w:ascii="Cambria Math" w:hAnsi="Cambria Math"/>
            </w:rPr>
            <m:t>=(0.635)(</m:t>
          </m:r>
          <m:sSub>
            <m:sSubPr>
              <m:ctrlPr>
                <w:rPr>
                  <w:rFonts w:ascii="Cambria Math" w:hAnsi="Cambria Math"/>
                  <w:i/>
                </w:rPr>
              </m:ctrlPr>
            </m:sSubPr>
            <m:e>
              <m:r>
                <w:rPr>
                  <w:rFonts w:ascii="Cambria Math" w:hAnsi="Cambria Math"/>
                </w:rPr>
                <m:t>n</m:t>
              </m:r>
            </m:e>
            <m:sub>
              <m:r>
                <w:rPr>
                  <w:rFonts w:ascii="Cambria Math" w:hAnsi="Cambria Math"/>
                </w:rPr>
                <m:t>kt</m:t>
              </m:r>
            </m:sub>
          </m:sSub>
          <m:r>
            <w:rPr>
              <w:rFonts w:ascii="Cambria Math" w:hAnsi="Cambria Math"/>
            </w:rPr>
            <m:t>)</m:t>
          </m:r>
        </m:oMath>
      </m:oMathPara>
    </w:p>
    <w:p w14:paraId="67347306" w14:textId="6ACCE342" w:rsidR="00A902E2" w:rsidRDefault="00000000" w:rsidP="00A902E2">
      <w:pPr>
        <w:pStyle w:val="ListParagraph"/>
        <w:ind w:firstLine="0"/>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kt</m:t>
            </m:r>
          </m:sub>
        </m:sSub>
      </m:oMath>
      <w:r w:rsidR="00A902E2">
        <w:rPr>
          <w:rFonts w:eastAsiaTheme="minorEastAsia"/>
        </w:rPr>
        <w:t xml:space="preserve">: The rate of infected cases per each state </w:t>
      </w:r>
      <m:oMath>
        <m:r>
          <w:rPr>
            <w:rFonts w:ascii="Cambria Math" w:eastAsiaTheme="minorEastAsia" w:hAnsi="Cambria Math"/>
          </w:rPr>
          <m:t>s</m:t>
        </m:r>
      </m:oMath>
      <w:r w:rsidR="00A902E2">
        <w:rPr>
          <w:rFonts w:eastAsiaTheme="minorEastAsia"/>
        </w:rPr>
        <w:t xml:space="preserve"> during time period </w:t>
      </w:r>
      <m:oMath>
        <m:r>
          <w:rPr>
            <w:rFonts w:ascii="Cambria Math" w:eastAsiaTheme="minorEastAsia" w:hAnsi="Cambria Math"/>
          </w:rPr>
          <m:t>t</m:t>
        </m:r>
      </m:oMath>
    </w:p>
    <w:p w14:paraId="6BC5D8C4" w14:textId="77777777" w:rsidR="00EE4769" w:rsidRDefault="00EE4769" w:rsidP="00A902E2">
      <w:pPr>
        <w:pStyle w:val="ListParagraph"/>
        <w:ind w:firstLine="0"/>
        <w:rPr>
          <w:rFonts w:eastAsiaTheme="minorEastAsia"/>
        </w:rPr>
      </w:pPr>
    </w:p>
    <w:p w14:paraId="09D8AD86" w14:textId="2676C325" w:rsidR="00C54D7D" w:rsidRDefault="00000000" w:rsidP="00C12490">
      <w:pPr>
        <w:pStyle w:val="ListParagraph"/>
        <w:ind w:firstLine="0"/>
      </w:pPr>
      <m:oMath>
        <m:sSub>
          <m:sSubPr>
            <m:ctrlPr>
              <w:rPr>
                <w:rFonts w:ascii="Cambria Math" w:hAnsi="Cambria Math"/>
                <w:i/>
              </w:rPr>
            </m:ctrlPr>
          </m:sSubPr>
          <m:e>
            <m:r>
              <w:rPr>
                <w:rFonts w:ascii="Cambria Math" w:hAnsi="Cambria Math"/>
              </w:rPr>
              <m:t>f</m:t>
            </m:r>
          </m:e>
          <m:sub>
            <m:r>
              <w:rPr>
                <w:rFonts w:ascii="Cambria Math" w:hAnsi="Cambria Math"/>
              </w:rPr>
              <m:t>kt</m:t>
            </m:r>
          </m:sub>
        </m:sSub>
        <m:r>
          <w:rPr>
            <w:rFonts w:ascii="Cambria Math" w:hAnsi="Cambria Math"/>
          </w:rPr>
          <m:t>=(0.635)(</m:t>
        </m:r>
        <m:sSub>
          <m:sSubPr>
            <m:ctrlPr>
              <w:rPr>
                <w:rFonts w:ascii="Cambria Math" w:hAnsi="Cambria Math"/>
                <w:i/>
              </w:rPr>
            </m:ctrlPr>
          </m:sSubPr>
          <m:e>
            <m:r>
              <w:rPr>
                <w:rFonts w:ascii="Cambria Math" w:hAnsi="Cambria Math"/>
              </w:rPr>
              <m:t>n</m:t>
            </m:r>
          </m:e>
          <m:sub>
            <m:r>
              <w:rPr>
                <w:rFonts w:ascii="Cambria Math" w:hAnsi="Cambria Math"/>
              </w:rPr>
              <m:t>kt</m:t>
            </m:r>
          </m:sub>
        </m:sSub>
        <m:r>
          <w:rPr>
            <w:rFonts w:ascii="Cambria Math" w:hAnsi="Cambria Math"/>
          </w:rPr>
          <m:t>)</m:t>
        </m:r>
      </m:oMath>
      <w:r w:rsidR="00A902E2">
        <w:rPr>
          <w:rFonts w:eastAsiaTheme="minorEastAsia"/>
        </w:rPr>
        <w:t xml:space="preserve">: </w:t>
      </w:r>
      <w:r w:rsidR="00C12490">
        <w:rPr>
          <w:rFonts w:eastAsiaTheme="minorEastAsia"/>
        </w:rPr>
        <w:t xml:space="preserve">fraction of demand (i.e., eligible population for vaccination) that have underline conditions </w:t>
      </w:r>
      <w:r w:rsidR="00C12490" w:rsidRPr="00C54D7D">
        <w:t>such as obesity, diabetes, hypertension, and heart failure</w:t>
      </w:r>
      <w:r w:rsidR="00C12490">
        <w:t xml:space="preserve">. </w:t>
      </w:r>
      <w:r w:rsidR="00C54D7D" w:rsidRPr="00C54D7D">
        <w:t xml:space="preserve">According to </w:t>
      </w:r>
      <w:r w:rsidR="00C54D7D" w:rsidRPr="00C54D7D">
        <w:fldChar w:fldCharType="begin" w:fldLock="1"/>
      </w:r>
      <w:r w:rsidR="00A902E2">
        <w:instrText>ADDIN CSL_CITATION {"citationItems":[{"id":"ITEM-1","itemData":{"DOI":"10.1161/JAHA.120.019259","ISSN":"20479980","PMID":"33629868","abstract":"BACKGROUND: Risk of coronavirus disease 2019 (COVID-19) hospitalization is robustly linked to cardiometabolic health. We estimated the absolute and proportional COVID-19 hospitalizations in US adults attributable to 4 major US cardiometabolic conditions, separately and jointly, and by race/ethnicity, age, and sex. METHODS AND RESULTS: We used the best available estimates of independent associations of cardiometabolic conditions with a risk of COVID-19 hospitalization; nationally representative data on cardiometabolic conditions from the National Health and Nutrition Examination Survey 2015 to 2018; and US COVID-19 hospitalizations stratified by age, sex, and race/ethnicity from the Centers for Disease Control and Prevention’s Coronavirus Disease 2019–Associated Hospitalization Surveillance Network database and from the COVID Tracking Project to estimate the numbers and proportions of COVID-19 hospitalizations attributable to diabetes mellitus, obesity, hypertension, and heart failure. Inputs were combined in a comparative risk assessment framework, with probabilistic sensitivity analyses and 1000 Monte Carlo simulations to jointly incorporate stratum-specific un-certainties in data inputs. As of November 18, 2020, an estimated 906 849 COVID-19 hospitalizations occurred in US adults. Of these, an estimated 20.5% (95% uncertainty interval [UIs], 18.9–22.1) of COVID-19 hospitalizations were attributable to diabetes mellitus, 30.2% (UI, 28.2–32.3) to total obesity (body mass index ≥30 kg/m2), 26.2% (UI, 24.3–28.3) to hypertension, and 11.7% (UI, 9.5–14.1) to heart failure. Considered jointly, 63.5% (UI, 61.6–65.4) or 575 419 (UI, 559 072–593 412) of COVID-19 hospitalizations were attributable to these 4 conditions. Large differences were seen in proportions of cardiometabolic risk– attributable COVID-19 hospitalizations by age and race/ethnicity, with smaller differences by sex. CONCLUSIONS: A substantial proportion of US COVID-19 hospitalizations appear attributable to major cardiometabolic condi-tions. These results can help inform public health prevention strategies to reduce COVID-19 healthcare burdens.","author":[{"dropping-particle":"","family":"O’hearn","given":"Meghan","non-dropping-particle":"","parse-names":false,"suffix":""},{"dropping-particle":"","family":"Liu","given":"Junxiu","non-dropping-particle":"","parse-names":false,"suffix":""},{"dropping-particle":"","family":"Cudhea","given":"Frederick","non-dropping-particle":"","parse-names":false,"suffix":""},{"dropping-particle":"","family":"Micha","given":"Renata","non-dropping-particle":"","parse-names":false,"suffix":""},{"dropping-particle":"","family":"Mozaffarian","given":"Dariush","non-dropping-particle":"","parse-names":false,"suffix":""}],"container-title":"Journal of the American Heart Association","id":"ITEM-1","issue":"5","issued":{"date-parts":[["2021"]]},"page":"1-27","title":"Coronavirus disease 2019 hospitalizations attributable to cardiometabolic conditions in the united states: A comparative risk assessment analysis","type":"article-journal","volume":"10"},"uris":["http://www.mendeley.com/documents/?uuid=00858d04-2726-4990-b2e3-d4a4d2ec088b"]}],"mendeley":{"formattedCitation":"(O’hearn et al., 2021)","plainTextFormattedCitation":"(O’hearn et al., 2021)","previouslyFormattedCitation":"(O’hearn et al., 2021)"},"properties":{"noteIndex":0},"schema":"https://github.com/citation-style-language/schema/raw/master/csl-citation.json"}</w:instrText>
      </w:r>
      <w:r w:rsidR="00C54D7D" w:rsidRPr="00C54D7D">
        <w:fldChar w:fldCharType="separate"/>
      </w:r>
      <w:r w:rsidR="00C54D7D" w:rsidRPr="00C54D7D">
        <w:rPr>
          <w:noProof/>
        </w:rPr>
        <w:t>(O’hearn et al., 2021)</w:t>
      </w:r>
      <w:r w:rsidR="00C54D7D" w:rsidRPr="00C54D7D">
        <w:fldChar w:fldCharType="end"/>
      </w:r>
      <w:r w:rsidR="00C54D7D" w:rsidRPr="00C54D7D">
        <w:t xml:space="preserve">, approximately </w:t>
      </w:r>
      <w:r w:rsidR="00C54D7D">
        <w:t>63.5</w:t>
      </w:r>
      <w:r w:rsidR="00C54D7D" w:rsidRPr="00C54D7D">
        <w:t xml:space="preserve">% of COVID-19 hospitalizations in the United States could be linked to </w:t>
      </w:r>
      <w:r w:rsidR="00C12490">
        <w:t xml:space="preserve">these four </w:t>
      </w:r>
      <w:r w:rsidR="00C54D7D">
        <w:t>underline</w:t>
      </w:r>
      <w:r w:rsidR="00C54D7D" w:rsidRPr="00C54D7D">
        <w:t xml:space="preserve"> conditions</w:t>
      </w:r>
      <w:r w:rsidR="00C12490">
        <w:t>.</w:t>
      </w:r>
    </w:p>
    <w:p w14:paraId="0F2AEA7E" w14:textId="77777777" w:rsidR="009568A7" w:rsidRDefault="009568A7" w:rsidP="00C12490">
      <w:pPr>
        <w:pStyle w:val="ListParagraph"/>
        <w:ind w:firstLine="0"/>
      </w:pPr>
    </w:p>
    <w:p w14:paraId="31F5E624" w14:textId="506A8AF1" w:rsidR="00196D76" w:rsidRDefault="00000000" w:rsidP="00196D76">
      <w:pPr>
        <w:pStyle w:val="ListParagraph"/>
        <w:ind w:firstLine="0"/>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kt</m:t>
            </m:r>
          </m:sub>
        </m:sSub>
      </m:oMath>
      <w:r w:rsidR="009568A7">
        <w:rPr>
          <w:rFonts w:eastAsiaTheme="minorEastAsia"/>
        </w:rPr>
        <w:t xml:space="preserve">: number of </w:t>
      </w:r>
      <w:r w:rsidR="00196D76">
        <w:rPr>
          <w:rFonts w:eastAsiaTheme="minorEastAsia"/>
        </w:rPr>
        <w:t>hospitalizations.</w:t>
      </w:r>
    </w:p>
    <w:p w14:paraId="0B4139E5" w14:textId="6E2F5B01" w:rsidR="00196D76" w:rsidRDefault="00000000" w:rsidP="00196D76">
      <w:pPr>
        <w:pStyle w:val="ListParagraph"/>
        <w:ind w:firstLine="0"/>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k</m:t>
            </m:r>
          </m:sub>
        </m:sSub>
      </m:oMath>
      <w:r w:rsidR="00EE4769">
        <w:rPr>
          <w:rFonts w:eastAsiaTheme="minorEastAsia"/>
        </w:rPr>
        <w:t xml:space="preserve">: </w:t>
      </w:r>
      <w:r w:rsidR="00E060F1" w:rsidRPr="00E060F1">
        <w:rPr>
          <w:rFonts w:eastAsiaTheme="minorEastAsia"/>
        </w:rPr>
        <w:t>The COVID-19 mortality rate</w:t>
      </w:r>
      <w:r w:rsidR="00E060F1">
        <w:rPr>
          <w:rFonts w:eastAsiaTheme="minorEastAsia"/>
        </w:rPr>
        <w:t>s</w:t>
      </w:r>
      <w:r w:rsidR="00E060F1" w:rsidRPr="00E060F1">
        <w:rPr>
          <w:rFonts w:eastAsiaTheme="minorEastAsia"/>
        </w:rPr>
        <w:t xml:space="preserve"> </w:t>
      </w:r>
      <w:r w:rsidR="00E060F1">
        <w:rPr>
          <w:rFonts w:eastAsiaTheme="minorEastAsia"/>
        </w:rPr>
        <w:t>are</w:t>
      </w:r>
      <w:r w:rsidR="00E060F1" w:rsidRPr="00E060F1">
        <w:rPr>
          <w:rFonts w:eastAsiaTheme="minorEastAsia"/>
        </w:rPr>
        <w:t xml:space="preserve"> obtained from</w:t>
      </w:r>
      <w:r w:rsidR="00A62978">
        <w:rPr>
          <w:rFonts w:eastAsiaTheme="minorEastAsia"/>
        </w:rPr>
        <w:t xml:space="preserve"> </w:t>
      </w:r>
      <w:r w:rsidR="00A62978">
        <w:rPr>
          <w:rFonts w:eastAsiaTheme="minorEastAsia"/>
        </w:rPr>
        <w:fldChar w:fldCharType="begin" w:fldLock="1"/>
      </w:r>
      <w:r w:rsidR="00A62978">
        <w:rPr>
          <w:rFonts w:eastAsiaTheme="minorEastAsia"/>
        </w:rPr>
        <w:instrText>ADDIN CSL_CITATION {"citationItems":[{"id":"ITEM-1","itemData":{"URL":"https://www.cdc.gov/nchs/pressroom/sosmap/covid19_mortality_final/COVID19.htm","accessed":{"date-parts":[["2023","8","28"]]},"author":[{"dropping-particle":"","family":"CDC","given":"","non-dropping-particle":"","parse-names":false,"suffix":""}],"container-title":"CDC","id":"ITEM-1","issued":{"date-parts":[["2021"]]},"title":"COVID-19 Mortality by State","type":"webpage"},"uris":["http://www.mendeley.com/documents/?uuid=c39e2fde-4528-3523-b97e-5b0f3498bede"]}],"mendeley":{"formattedCitation":"(CDC, 2021)","plainTextFormattedCitation":"(CDC, 2021)","previouslyFormattedCitation":"(&lt;i&gt;COVID-19 Mortality by State&lt;/i&gt;, n.d.)"},"properties":{"noteIndex":0},"schema":"https://github.com/citation-style-language/schema/raw/master/csl-citation.json"}</w:instrText>
      </w:r>
      <w:r w:rsidR="00A62978">
        <w:rPr>
          <w:rFonts w:eastAsiaTheme="minorEastAsia"/>
        </w:rPr>
        <w:fldChar w:fldCharType="separate"/>
      </w:r>
      <w:r w:rsidR="00A62978" w:rsidRPr="00A62978">
        <w:rPr>
          <w:rFonts w:eastAsiaTheme="minorEastAsia"/>
          <w:noProof/>
        </w:rPr>
        <w:t>(CDC, 2021)</w:t>
      </w:r>
      <w:r w:rsidR="00A62978">
        <w:rPr>
          <w:rFonts w:eastAsiaTheme="minorEastAsia"/>
        </w:rPr>
        <w:fldChar w:fldCharType="end"/>
      </w:r>
      <w:r w:rsidR="00E060F1" w:rsidRPr="00E060F1">
        <w:rPr>
          <w:rFonts w:eastAsiaTheme="minorEastAsia"/>
        </w:rPr>
        <w:t xml:space="preserve"> </w:t>
      </w:r>
      <w:r w:rsidR="00E060F1">
        <w:rPr>
          <w:rFonts w:eastAsiaTheme="minorEastAsia"/>
        </w:rPr>
        <w:t xml:space="preserve">We assumed </w:t>
      </w:r>
      <w:r w:rsidR="00E060F1" w:rsidRPr="00E060F1">
        <w:rPr>
          <w:rFonts w:eastAsiaTheme="minorEastAsia"/>
        </w:rPr>
        <w:t xml:space="preserve">that these mortality rates </w:t>
      </w:r>
      <w:r w:rsidR="00E060F1">
        <w:rPr>
          <w:rFonts w:eastAsiaTheme="minorEastAsia"/>
        </w:rPr>
        <w:t>are the same a</w:t>
      </w:r>
      <w:r w:rsidR="00E060F1" w:rsidRPr="00E060F1">
        <w:rPr>
          <w:rFonts w:eastAsiaTheme="minorEastAsia"/>
        </w:rPr>
        <w:t>cross all counties within each state.</w:t>
      </w:r>
    </w:p>
    <w:p w14:paraId="0EE6B815" w14:textId="77777777" w:rsidR="00CD5D77" w:rsidRDefault="00CD5D77" w:rsidP="00196D76">
      <w:pPr>
        <w:pStyle w:val="ListParagraph"/>
        <w:ind w:firstLine="0"/>
        <w:rPr>
          <w:rFonts w:eastAsiaTheme="minorEastAsia"/>
        </w:rPr>
      </w:pPr>
    </w:p>
    <w:p w14:paraId="056C612C" w14:textId="77777777" w:rsidR="00EE4769" w:rsidRPr="00196D76" w:rsidRDefault="00EE4769" w:rsidP="00196D76">
      <w:pPr>
        <w:pStyle w:val="ListParagraph"/>
        <w:ind w:firstLine="0"/>
        <w:rPr>
          <w:rFonts w:eastAsiaTheme="minorEastAsia"/>
        </w:rPr>
      </w:pPr>
    </w:p>
    <w:p w14:paraId="4A8DAFE8" w14:textId="77420382" w:rsidR="005B4CB4" w:rsidRDefault="00A45BC1" w:rsidP="00860F5E">
      <w:pPr>
        <w:pStyle w:val="Heading1"/>
      </w:pPr>
      <w:r>
        <w:t xml:space="preserve">Vaccine allocation and distribution process </w:t>
      </w:r>
    </w:p>
    <w:p w14:paraId="38797354" w14:textId="35B8AF08" w:rsidR="00C81649" w:rsidRDefault="001437D3" w:rsidP="00C81649">
      <w:r w:rsidRPr="001437D3">
        <w:t>The CDC determin</w:t>
      </w:r>
      <w:r w:rsidR="007108F9">
        <w:t xml:space="preserve">es </w:t>
      </w:r>
      <w:r w:rsidRPr="001437D3">
        <w:t xml:space="preserve">the allocation of vaccines to each state. Subsequently, each state takes on the responsibility of managing the distribution of the allocated doses among their approved providers who have placed orders. </w:t>
      </w:r>
      <w:r w:rsidR="00C81649" w:rsidRPr="00C81649">
        <w:t xml:space="preserve">The vaccination programs in </w:t>
      </w:r>
      <w:r w:rsidR="00C81649">
        <w:t>each</w:t>
      </w:r>
      <w:r w:rsidR="00C81649" w:rsidRPr="00C81649">
        <w:t xml:space="preserve"> state </w:t>
      </w:r>
      <w:r w:rsidR="00C81649">
        <w:t>approves the</w:t>
      </w:r>
      <w:r w:rsidR="00C81649" w:rsidRPr="00C81649">
        <w:t xml:space="preserve"> orders </w:t>
      </w:r>
      <w:r w:rsidR="00C81649">
        <w:t>placed by providers based on several</w:t>
      </w:r>
      <w:r w:rsidR="00C81649" w:rsidRPr="00C81649">
        <w:t xml:space="preserve"> factors, including the estimated population that providers can serve, the providers' capacity to store and handle vaccines, and the existing inventory level.</w:t>
      </w:r>
    </w:p>
    <w:p w14:paraId="3C8BA54D" w14:textId="6E14EEB0" w:rsidR="00B0757C" w:rsidRDefault="001437D3" w:rsidP="00B0757C">
      <w:pPr>
        <w:spacing w:before="0" w:after="0"/>
      </w:pPr>
      <w:r w:rsidRPr="001437D3">
        <w:t xml:space="preserve">The CDC </w:t>
      </w:r>
      <w:r w:rsidR="00C81649">
        <w:t xml:space="preserve">may </w:t>
      </w:r>
      <w:r w:rsidRPr="001437D3">
        <w:t xml:space="preserve">adjusts the </w:t>
      </w:r>
      <w:r w:rsidR="007108F9" w:rsidRPr="001437D3">
        <w:t>number</w:t>
      </w:r>
      <w:r w:rsidRPr="001437D3">
        <w:t xml:space="preserve"> of vaccines allocated to each state over time, based on the increasing availability of supplies and the population recommended for vaccination by the Advisory Committee on Immunization Practices (ACIP).</w:t>
      </w:r>
      <w:r w:rsidR="00C81649">
        <w:t xml:space="preserve"> </w:t>
      </w:r>
      <w:r w:rsidR="000238C2" w:rsidRPr="000238C2">
        <w:t>The approved orders will be shipped directly from vaccine manufacturers to providers by the CDC.</w:t>
      </w:r>
      <w:r w:rsidR="00B0757C">
        <w:t xml:space="preserve"> </w:t>
      </w:r>
      <w:r w:rsidR="00B0757C" w:rsidRPr="00B0757C">
        <w:t>Once a vaccine product has been shipped to a COVID-19 vaccination provider site, the federal government is not responsible for redistributing the product or covering the costs associated with redistribution. However, in cases where redistribution is necessary, such as for orders smaller than the minimum order size that the CDC does not directly ship to provider sites, the vaccination provider may be permitted to redistribute the vaccine if approved by the state's immunization program. Redistribution must be carried out in compliance with the manufacturer's instructions and the guidance provided by the CDC</w:t>
      </w:r>
      <w:r w:rsidR="00B0757C">
        <w:t xml:space="preserve"> </w:t>
      </w:r>
      <w:r w:rsidR="00B0757C">
        <w:fldChar w:fldCharType="begin" w:fldLock="1"/>
      </w:r>
      <w:r w:rsidR="00317095">
        <w:instrText>ADDIN CSL_CITATION {"citationItems":[{"id":"ITEM-1","itemData":{"author":[{"dropping-particle":"","family":"CDC","given":"","non-dropping-particle":"","parse-names":false,"suffix":""}],"id":"ITEM-1","issued":{"date-parts":[["2020"]]},"title":"COVID-19 Vaccination Program Interim Operational Guidance Jurisdiction Operations","type":"report"},"uris":["http://www.mendeley.com/documents/?uuid=da3819b7-77df-367f-bc92-af545b711d97"]}],"mendeley":{"formattedCitation":"(CDC, 2020)","plainTextFormattedCitation":"(CDC, 2020)","previouslyFormattedCitation":"(CDC, 2020)"},"properties":{"noteIndex":0},"schema":"https://github.com/citation-style-language/schema/raw/master/csl-citation.json"}</w:instrText>
      </w:r>
      <w:r w:rsidR="00B0757C">
        <w:fldChar w:fldCharType="separate"/>
      </w:r>
      <w:r w:rsidR="008D2835" w:rsidRPr="008D2835">
        <w:rPr>
          <w:noProof/>
        </w:rPr>
        <w:t>(CDC, 2020)</w:t>
      </w:r>
      <w:r w:rsidR="00B0757C">
        <w:fldChar w:fldCharType="end"/>
      </w:r>
      <w:r w:rsidR="00B0757C" w:rsidRPr="00B0757C">
        <w:t>.</w:t>
      </w:r>
    </w:p>
    <w:p w14:paraId="2140B5DD" w14:textId="54514740" w:rsidR="005B4CB4" w:rsidRDefault="005B4CB4" w:rsidP="00860F5E"/>
    <w:p w14:paraId="52D18A62" w14:textId="7C027DFD" w:rsidR="00A45BC1" w:rsidRDefault="00B0757C" w:rsidP="00B0757C">
      <w:pPr>
        <w:keepNext/>
        <w:ind w:firstLine="0"/>
        <w:jc w:val="center"/>
      </w:pPr>
      <w:r>
        <w:object w:dxaOrig="6601" w:dyaOrig="3461" w14:anchorId="2BE1C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240.2pt" o:ole="">
            <v:imagedata r:id="rId16" o:title=""/>
          </v:shape>
          <o:OLEObject Type="Embed" ProgID="Visio.Drawing.15" ShapeID="_x0000_i1025" DrawAspect="Content" ObjectID="_1777882365" r:id="rId17"/>
        </w:object>
      </w:r>
    </w:p>
    <w:p w14:paraId="06415B32" w14:textId="06A842B5" w:rsidR="00A210BD" w:rsidRDefault="00A45BC1" w:rsidP="00B0757C">
      <w:pPr>
        <w:pStyle w:val="Caption"/>
      </w:pPr>
      <w:r w:rsidRPr="00A45BC1">
        <w:t xml:space="preserve">Figure </w:t>
      </w:r>
      <w:r>
        <w:fldChar w:fldCharType="begin"/>
      </w:r>
      <w:r>
        <w:instrText xml:space="preserve"> SEQ Figure \* ARABIC </w:instrText>
      </w:r>
      <w:r>
        <w:fldChar w:fldCharType="separate"/>
      </w:r>
      <w:r w:rsidRPr="00A45BC1">
        <w:t>1</w:t>
      </w:r>
      <w:r>
        <w:fldChar w:fldCharType="end"/>
      </w:r>
      <w:r w:rsidRPr="00A45BC1">
        <w:t>. Process flow of vaccine allocation and distribution</w:t>
      </w:r>
      <w:r>
        <w:t xml:space="preserve"> in the US</w:t>
      </w:r>
      <w:r w:rsidRPr="00A45BC1">
        <w:t>.</w:t>
      </w:r>
    </w:p>
    <w:p w14:paraId="2F618FB0" w14:textId="77777777" w:rsidR="001D5D5B" w:rsidRDefault="001D5D5B" w:rsidP="001D5D5B"/>
    <w:p w14:paraId="7409643E" w14:textId="6CD4F188" w:rsidR="00645CC8" w:rsidRPr="00645CC8" w:rsidRDefault="00645CC8" w:rsidP="00645CC8">
      <w:pPr>
        <w:pStyle w:val="Heading1"/>
        <w:ind w:left="360"/>
      </w:pPr>
      <w:r w:rsidRPr="00645CC8">
        <w:t>Results</w:t>
      </w:r>
    </w:p>
    <w:p w14:paraId="5E7D9687" w14:textId="77777777" w:rsidR="00B0757C" w:rsidRDefault="00B0757C" w:rsidP="00B0757C">
      <w:pPr>
        <w:spacing w:before="0" w:after="0"/>
      </w:pPr>
    </w:p>
    <w:p w14:paraId="0F635427" w14:textId="77777777" w:rsidR="001D5D5B" w:rsidRDefault="001D5D5B" w:rsidP="00704377">
      <w:pPr>
        <w:pStyle w:val="Default"/>
        <w:rPr>
          <w:sz w:val="20"/>
          <w:szCs w:val="20"/>
        </w:rPr>
      </w:pPr>
    </w:p>
    <w:p w14:paraId="0367C65B" w14:textId="292FF92F" w:rsidR="007A0EAA" w:rsidRPr="00CE37D3" w:rsidRDefault="001D5D5B" w:rsidP="00CE37D3">
      <w:pPr>
        <w:pStyle w:val="Heading1"/>
        <w:ind w:left="360"/>
      </w:pPr>
      <w:r w:rsidRPr="00CE37D3">
        <w:t>References</w:t>
      </w:r>
    </w:p>
    <w:p w14:paraId="6B3794E8" w14:textId="77777777" w:rsidR="001D5D5B" w:rsidRPr="001D5D5B" w:rsidRDefault="001D5D5B" w:rsidP="001D5D5B">
      <w:pPr>
        <w:spacing w:before="0" w:after="0"/>
        <w:ind w:firstLine="0"/>
        <w:rPr>
          <w:b/>
          <w:bCs/>
        </w:rPr>
      </w:pPr>
    </w:p>
    <w:p w14:paraId="52D8B05E" w14:textId="74D2C9C1" w:rsidR="00A62978" w:rsidRPr="00A62978" w:rsidRDefault="004018D6" w:rsidP="00A62978">
      <w:pPr>
        <w:widowControl w:val="0"/>
        <w:ind w:left="480" w:hanging="480"/>
        <w:rPr>
          <w:rFonts w:ascii="Times New Roman" w:hAnsi="Times New Roman" w:cs="Times New Roman"/>
          <w:noProof/>
        </w:rPr>
      </w:pPr>
      <w:r>
        <w:fldChar w:fldCharType="begin" w:fldLock="1"/>
      </w:r>
      <w:r>
        <w:instrText xml:space="preserve">ADDIN Mendeley Bibliography CSL_BIBLIOGRAPHY </w:instrText>
      </w:r>
      <w:r>
        <w:fldChar w:fldCharType="separate"/>
      </w:r>
      <w:r w:rsidR="00A62978" w:rsidRPr="00A62978">
        <w:rPr>
          <w:rFonts w:ascii="Times New Roman" w:hAnsi="Times New Roman" w:cs="Times New Roman"/>
          <w:noProof/>
        </w:rPr>
        <w:t xml:space="preserve">Agarwal, R., Dugas, M., Ramaprasad, J., Luo, J., Li, G., &amp; Gao, G. (2021). Socioeconomic privilege and political ideology are associated with racial disparity in COVID-19 vaccination. </w:t>
      </w:r>
      <w:r w:rsidR="00A62978" w:rsidRPr="00A62978">
        <w:rPr>
          <w:rFonts w:ascii="Times New Roman" w:hAnsi="Times New Roman" w:cs="Times New Roman"/>
          <w:i/>
          <w:iCs/>
          <w:noProof/>
        </w:rPr>
        <w:t>Proceedings of the National Academy of Sciences of the United States of America</w:t>
      </w:r>
      <w:r w:rsidR="00A62978" w:rsidRPr="00A62978">
        <w:rPr>
          <w:rFonts w:ascii="Times New Roman" w:hAnsi="Times New Roman" w:cs="Times New Roman"/>
          <w:noProof/>
        </w:rPr>
        <w:t xml:space="preserve">, </w:t>
      </w:r>
      <w:r w:rsidR="00A62978" w:rsidRPr="00A62978">
        <w:rPr>
          <w:rFonts w:ascii="Times New Roman" w:hAnsi="Times New Roman" w:cs="Times New Roman"/>
          <w:i/>
          <w:iCs/>
          <w:noProof/>
        </w:rPr>
        <w:t>118</w:t>
      </w:r>
      <w:r w:rsidR="00A62978" w:rsidRPr="00A62978">
        <w:rPr>
          <w:rFonts w:ascii="Times New Roman" w:hAnsi="Times New Roman" w:cs="Times New Roman"/>
          <w:noProof/>
        </w:rPr>
        <w:t>(33), e2107873118. https://doi.org/10.1073/PNAS.2107873118/SUPPL_FILE/PNAS.2107873118.SAPP.PDF</w:t>
      </w:r>
    </w:p>
    <w:p w14:paraId="5DF2E30F"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Anahideh, H., Kang, L., &amp; Nezami, N. (2022). Fair and diverse allocation of scarce resources. </w:t>
      </w:r>
      <w:r w:rsidRPr="00A62978">
        <w:rPr>
          <w:rFonts w:ascii="Times New Roman" w:hAnsi="Times New Roman" w:cs="Times New Roman"/>
          <w:i/>
          <w:iCs/>
          <w:noProof/>
        </w:rPr>
        <w:t>Socio-Economic Planning Sciences</w:t>
      </w:r>
      <w:r w:rsidRPr="00A62978">
        <w:rPr>
          <w:rFonts w:ascii="Times New Roman" w:hAnsi="Times New Roman" w:cs="Times New Roman"/>
          <w:noProof/>
        </w:rPr>
        <w:t xml:space="preserve">, </w:t>
      </w:r>
      <w:r w:rsidRPr="00A62978">
        <w:rPr>
          <w:rFonts w:ascii="Times New Roman" w:hAnsi="Times New Roman" w:cs="Times New Roman"/>
          <w:i/>
          <w:iCs/>
          <w:noProof/>
        </w:rPr>
        <w:t>80</w:t>
      </w:r>
      <w:r w:rsidRPr="00A62978">
        <w:rPr>
          <w:rFonts w:ascii="Times New Roman" w:hAnsi="Times New Roman" w:cs="Times New Roman"/>
          <w:noProof/>
        </w:rPr>
        <w:t>(November 2021), 101193. https://doi.org/10.1016/j.seps.2021.101193</w:t>
      </w:r>
    </w:p>
    <w:p w14:paraId="49FD9948"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Anaya-Arenas, A. M., Ruiz, A., &amp; Renaud, J. (2018). Importance of fairness in humanitarian relief distribution. </w:t>
      </w:r>
      <w:r w:rsidRPr="00A62978">
        <w:rPr>
          <w:rFonts w:ascii="Times New Roman" w:hAnsi="Times New Roman" w:cs="Times New Roman"/>
          <w:i/>
          <w:iCs/>
          <w:noProof/>
        </w:rPr>
        <w:t>Production Planning and Control</w:t>
      </w:r>
      <w:r w:rsidRPr="00A62978">
        <w:rPr>
          <w:rFonts w:ascii="Times New Roman" w:hAnsi="Times New Roman" w:cs="Times New Roman"/>
          <w:noProof/>
        </w:rPr>
        <w:t xml:space="preserve">, </w:t>
      </w:r>
      <w:r w:rsidRPr="00A62978">
        <w:rPr>
          <w:rFonts w:ascii="Times New Roman" w:hAnsi="Times New Roman" w:cs="Times New Roman"/>
          <w:i/>
          <w:iCs/>
          <w:noProof/>
        </w:rPr>
        <w:t>29</w:t>
      </w:r>
      <w:r w:rsidRPr="00A62978">
        <w:rPr>
          <w:rFonts w:ascii="Times New Roman" w:hAnsi="Times New Roman" w:cs="Times New Roman"/>
          <w:noProof/>
        </w:rPr>
        <w:t>(14), 1145–1157. https://doi.org/10.1080/09537287.2018.1542157</w:t>
      </w:r>
    </w:p>
    <w:p w14:paraId="20EE290A"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Balcik, B., Yucesoy, E., Akca, B., Karakaya, S., Gevsek, A. A., Baharmand, H., &amp; Sgarbossa, F. (2022). A mathematical model for equitable in-country COVID-19 vaccine allocation. </w:t>
      </w:r>
      <w:r w:rsidRPr="00A62978">
        <w:rPr>
          <w:rFonts w:ascii="Times New Roman" w:hAnsi="Times New Roman" w:cs="Times New Roman"/>
          <w:i/>
          <w:iCs/>
          <w:noProof/>
        </w:rPr>
        <w:t>International Journal of Production Research</w:t>
      </w:r>
      <w:r w:rsidRPr="00A62978">
        <w:rPr>
          <w:rFonts w:ascii="Times New Roman" w:hAnsi="Times New Roman" w:cs="Times New Roman"/>
          <w:noProof/>
        </w:rPr>
        <w:t xml:space="preserve">, </w:t>
      </w:r>
      <w:r w:rsidRPr="00A62978">
        <w:rPr>
          <w:rFonts w:ascii="Times New Roman" w:hAnsi="Times New Roman" w:cs="Times New Roman"/>
          <w:i/>
          <w:iCs/>
          <w:noProof/>
        </w:rPr>
        <w:t>60</w:t>
      </w:r>
      <w:r w:rsidRPr="00A62978">
        <w:rPr>
          <w:rFonts w:ascii="Times New Roman" w:hAnsi="Times New Roman" w:cs="Times New Roman"/>
          <w:noProof/>
        </w:rPr>
        <w:t xml:space="preserve">(24), 7502–7526. </w:t>
      </w:r>
      <w:r w:rsidRPr="00A62978">
        <w:rPr>
          <w:rFonts w:ascii="Times New Roman" w:hAnsi="Times New Roman" w:cs="Times New Roman"/>
          <w:noProof/>
        </w:rPr>
        <w:lastRenderedPageBreak/>
        <w:t>https://doi.org/10.1080/00207543.2022.2110014</w:t>
      </w:r>
    </w:p>
    <w:p w14:paraId="6BA91BDA"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Bayati, M., Noroozi, R., Jahromi, M. G., &amp; Jalali, F. S. (2022). Inequality in the distribution of Covid ‑ 19 vaccine : a systematic review. </w:t>
      </w:r>
      <w:r w:rsidRPr="00A62978">
        <w:rPr>
          <w:rFonts w:ascii="Times New Roman" w:hAnsi="Times New Roman" w:cs="Times New Roman"/>
          <w:i/>
          <w:iCs/>
          <w:noProof/>
        </w:rPr>
        <w:t>International Journal for Equity in Health</w:t>
      </w:r>
      <w:r w:rsidRPr="00A62978">
        <w:rPr>
          <w:rFonts w:ascii="Times New Roman" w:hAnsi="Times New Roman" w:cs="Times New Roman"/>
          <w:noProof/>
        </w:rPr>
        <w:t>, 1–9. https://doi.org/10.1186/s12939-022-01729-x</w:t>
      </w:r>
    </w:p>
    <w:p w14:paraId="519E7560"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Behbahani, H., Nazari, S., Jafari Kang, M., &amp; Litman, T. (2019). A conceptual framework to formulate transportation network design problem considering social equity criteria. </w:t>
      </w:r>
      <w:r w:rsidRPr="00A62978">
        <w:rPr>
          <w:rFonts w:ascii="Times New Roman" w:hAnsi="Times New Roman" w:cs="Times New Roman"/>
          <w:i/>
          <w:iCs/>
          <w:noProof/>
        </w:rPr>
        <w:t>Transportation Research Part A: Policy and Practice</w:t>
      </w:r>
      <w:r w:rsidRPr="00A62978">
        <w:rPr>
          <w:rFonts w:ascii="Times New Roman" w:hAnsi="Times New Roman" w:cs="Times New Roman"/>
          <w:noProof/>
        </w:rPr>
        <w:t xml:space="preserve">, </w:t>
      </w:r>
      <w:r w:rsidRPr="00A62978">
        <w:rPr>
          <w:rFonts w:ascii="Times New Roman" w:hAnsi="Times New Roman" w:cs="Times New Roman"/>
          <w:i/>
          <w:iCs/>
          <w:noProof/>
        </w:rPr>
        <w:t>125</w:t>
      </w:r>
      <w:r w:rsidRPr="00A62978">
        <w:rPr>
          <w:rFonts w:ascii="Times New Roman" w:hAnsi="Times New Roman" w:cs="Times New Roman"/>
          <w:noProof/>
        </w:rPr>
        <w:t>(April 2018), 171–183. https://doi.org/10.1016/j.tra.2018.04.005</w:t>
      </w:r>
    </w:p>
    <w:p w14:paraId="4709D564"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Beleche, T., Ruhter, J., Kolbe, A., Marus, J., Bush, L., &amp; Sommers, B. (2021). COVID-19 vaccine hesitancy: demographic factors, geographic patterns, and changes over time. </w:t>
      </w:r>
      <w:r w:rsidRPr="00A62978">
        <w:rPr>
          <w:rFonts w:ascii="Times New Roman" w:hAnsi="Times New Roman" w:cs="Times New Roman"/>
          <w:i/>
          <w:iCs/>
          <w:noProof/>
        </w:rPr>
        <w:t>Published Online</w:t>
      </w:r>
      <w:r w:rsidRPr="00A62978">
        <w:rPr>
          <w:rFonts w:ascii="Times New Roman" w:hAnsi="Times New Roman" w:cs="Times New Roman"/>
          <w:noProof/>
        </w:rPr>
        <w:t xml:space="preserve">, </w:t>
      </w:r>
      <w:r w:rsidRPr="00A62978">
        <w:rPr>
          <w:rFonts w:ascii="Times New Roman" w:hAnsi="Times New Roman" w:cs="Times New Roman"/>
          <w:i/>
          <w:iCs/>
          <w:noProof/>
        </w:rPr>
        <w:t>27</w:t>
      </w:r>
      <w:r w:rsidRPr="00A62978">
        <w:rPr>
          <w:rFonts w:ascii="Times New Roman" w:hAnsi="Times New Roman" w:cs="Times New Roman"/>
          <w:noProof/>
        </w:rPr>
        <w:t>.</w:t>
      </w:r>
    </w:p>
    <w:p w14:paraId="5F4C3E49"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Bertsimas, D., Digalakis, V., Jacquillat, A., Li, M. L., &amp; Previero, A. (2022). Where to locate COVID-19 mass vaccination facilities? </w:t>
      </w:r>
      <w:r w:rsidRPr="00A62978">
        <w:rPr>
          <w:rFonts w:ascii="Times New Roman" w:hAnsi="Times New Roman" w:cs="Times New Roman"/>
          <w:i/>
          <w:iCs/>
          <w:noProof/>
        </w:rPr>
        <w:t>Naval Research Logistics</w:t>
      </w:r>
      <w:r w:rsidRPr="00A62978">
        <w:rPr>
          <w:rFonts w:ascii="Times New Roman" w:hAnsi="Times New Roman" w:cs="Times New Roman"/>
          <w:noProof/>
        </w:rPr>
        <w:t xml:space="preserve">, </w:t>
      </w:r>
      <w:r w:rsidRPr="00A62978">
        <w:rPr>
          <w:rFonts w:ascii="Times New Roman" w:hAnsi="Times New Roman" w:cs="Times New Roman"/>
          <w:i/>
          <w:iCs/>
          <w:noProof/>
        </w:rPr>
        <w:t>69</w:t>
      </w:r>
      <w:r w:rsidRPr="00A62978">
        <w:rPr>
          <w:rFonts w:ascii="Times New Roman" w:hAnsi="Times New Roman" w:cs="Times New Roman"/>
          <w:noProof/>
        </w:rPr>
        <w:t>(2), 179–200. https://doi.org/10.1002/nav.22007</w:t>
      </w:r>
    </w:p>
    <w:p w14:paraId="0AFE5203"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Bertsimas, D., Ivanhoe, J., Jacquillat, A., Li, M., Previero, A., Lami, O. S., &amp; Bouardi, H. T. (2020). Optimizing vaccine allocation to combat the COVID-19 pandemic. </w:t>
      </w:r>
      <w:r w:rsidRPr="00A62978">
        <w:rPr>
          <w:rFonts w:ascii="Times New Roman" w:hAnsi="Times New Roman" w:cs="Times New Roman"/>
          <w:i/>
          <w:iCs/>
          <w:noProof/>
        </w:rPr>
        <w:t>MedRxiv</w:t>
      </w:r>
      <w:r w:rsidRPr="00A62978">
        <w:rPr>
          <w:rFonts w:ascii="Times New Roman" w:hAnsi="Times New Roman" w:cs="Times New Roman"/>
          <w:noProof/>
        </w:rPr>
        <w:t>, 2011–2020.</w:t>
      </w:r>
    </w:p>
    <w:p w14:paraId="599CE83F"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Cardona, S., Felipe, N., Fischer, K., Sehgal, N. J., &amp; Schwartz, B. E. (2021). Vaccination Disparity: Quantifying Racial Inequity in COVID-19 Vaccine Administration in Maryland. </w:t>
      </w:r>
      <w:r w:rsidRPr="00A62978">
        <w:rPr>
          <w:rFonts w:ascii="Times New Roman" w:hAnsi="Times New Roman" w:cs="Times New Roman"/>
          <w:i/>
          <w:iCs/>
          <w:noProof/>
        </w:rPr>
        <w:t>Journal of Urban Health</w:t>
      </w:r>
      <w:r w:rsidRPr="00A62978">
        <w:rPr>
          <w:rFonts w:ascii="Times New Roman" w:hAnsi="Times New Roman" w:cs="Times New Roman"/>
          <w:noProof/>
        </w:rPr>
        <w:t xml:space="preserve">, </w:t>
      </w:r>
      <w:r w:rsidRPr="00A62978">
        <w:rPr>
          <w:rFonts w:ascii="Times New Roman" w:hAnsi="Times New Roman" w:cs="Times New Roman"/>
          <w:i/>
          <w:iCs/>
          <w:noProof/>
        </w:rPr>
        <w:t>98</w:t>
      </w:r>
      <w:r w:rsidRPr="00A62978">
        <w:rPr>
          <w:rFonts w:ascii="Times New Roman" w:hAnsi="Times New Roman" w:cs="Times New Roman"/>
          <w:noProof/>
        </w:rPr>
        <w:t>(4), 464–468. https://doi.org/10.1007/S11524-021-00551-0/FIGURES/1</w:t>
      </w:r>
    </w:p>
    <w:p w14:paraId="7386AAB3"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CDC. (2020). </w:t>
      </w:r>
      <w:r w:rsidRPr="00A62978">
        <w:rPr>
          <w:rFonts w:ascii="Times New Roman" w:hAnsi="Times New Roman" w:cs="Times New Roman"/>
          <w:i/>
          <w:iCs/>
          <w:noProof/>
        </w:rPr>
        <w:t>COVID-19 Vaccination Program Interim Operational Guidance Jurisdiction Operations</w:t>
      </w:r>
      <w:r w:rsidRPr="00A62978">
        <w:rPr>
          <w:rFonts w:ascii="Times New Roman" w:hAnsi="Times New Roman" w:cs="Times New Roman"/>
          <w:noProof/>
        </w:rPr>
        <w:t>. https://www.cdc.gov/vaccines/imz-managers/downloads/COVID-19-Vaccination-Program-Interim_Playbook.pdf</w:t>
      </w:r>
    </w:p>
    <w:p w14:paraId="104F91DC"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CDC. (2021). </w:t>
      </w:r>
      <w:r w:rsidRPr="00A62978">
        <w:rPr>
          <w:rFonts w:ascii="Times New Roman" w:hAnsi="Times New Roman" w:cs="Times New Roman"/>
          <w:i/>
          <w:iCs/>
          <w:noProof/>
        </w:rPr>
        <w:t>COVID-19 Mortality by State</w:t>
      </w:r>
      <w:r w:rsidRPr="00A62978">
        <w:rPr>
          <w:rFonts w:ascii="Times New Roman" w:hAnsi="Times New Roman" w:cs="Times New Roman"/>
          <w:noProof/>
        </w:rPr>
        <w:t>. CDC. https://www.cdc.gov/nchs/pressroom/sosmap/covid19_mortality_final/COVID19.htm</w:t>
      </w:r>
    </w:p>
    <w:p w14:paraId="579B7013"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CDC. (2022a). </w:t>
      </w:r>
      <w:r w:rsidRPr="00A62978">
        <w:rPr>
          <w:rFonts w:ascii="Times New Roman" w:hAnsi="Times New Roman" w:cs="Times New Roman"/>
          <w:i/>
          <w:iCs/>
          <w:noProof/>
        </w:rPr>
        <w:t>COVID-19 Vaccinations in the United States,Jurisdiction</w:t>
      </w:r>
      <w:r w:rsidRPr="00A62978">
        <w:rPr>
          <w:rFonts w:ascii="Times New Roman" w:hAnsi="Times New Roman" w:cs="Times New Roman"/>
          <w:noProof/>
        </w:rPr>
        <w:t>. Centers for Disease Control and Prevention. https://data.cdc.gov/Vaccinations/COVID-19-Vaccinations-in-the-United-States-Jurisdi/unsk-b7fc</w:t>
      </w:r>
    </w:p>
    <w:p w14:paraId="012769DD"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CDC. (2022b). </w:t>
      </w:r>
      <w:r w:rsidRPr="00A62978">
        <w:rPr>
          <w:rFonts w:ascii="Times New Roman" w:hAnsi="Times New Roman" w:cs="Times New Roman"/>
          <w:i/>
          <w:iCs/>
          <w:noProof/>
        </w:rPr>
        <w:t>COVID-19 Vaccine Equity for Racial and Ethnic Minority Groups</w:t>
      </w:r>
      <w:r w:rsidRPr="00A62978">
        <w:rPr>
          <w:rFonts w:ascii="Times New Roman" w:hAnsi="Times New Roman" w:cs="Times New Roman"/>
          <w:noProof/>
        </w:rPr>
        <w:t>. Centers for Disease Control and Prevention. https://www.cdc.gov/coronavirus/2019-ncov/community/health-equity/vaccine-equity.html</w:t>
      </w:r>
    </w:p>
    <w:p w14:paraId="6014F868"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CDC. (2023). </w:t>
      </w:r>
      <w:r w:rsidRPr="00A62978">
        <w:rPr>
          <w:rFonts w:ascii="Times New Roman" w:hAnsi="Times New Roman" w:cs="Times New Roman"/>
          <w:i/>
          <w:iCs/>
          <w:noProof/>
        </w:rPr>
        <w:t>COVID-19 Vaccinations in the United States,County</w:t>
      </w:r>
      <w:r w:rsidRPr="00A62978">
        <w:rPr>
          <w:rFonts w:ascii="Times New Roman" w:hAnsi="Times New Roman" w:cs="Times New Roman"/>
          <w:noProof/>
        </w:rPr>
        <w:t>. Centers for Disease Control and Prevention. https://data.cdc.gov/Vaccinations/COVID-19-Vaccinations-in-the-United-States-County/8xkx-amqh</w:t>
      </w:r>
    </w:p>
    <w:p w14:paraId="1F8AA5AC"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Chen, J. T., &amp; Krieger, N. (2021). Revealing the Unequal Burden of COVID-19 by Income, </w:t>
      </w:r>
      <w:r w:rsidRPr="00A62978">
        <w:rPr>
          <w:rFonts w:ascii="Times New Roman" w:hAnsi="Times New Roman" w:cs="Times New Roman"/>
          <w:noProof/>
        </w:rPr>
        <w:lastRenderedPageBreak/>
        <w:t xml:space="preserve">Race/Ethnicity, and Household Crowding: US County Versus Zip Code Analyses. </w:t>
      </w:r>
      <w:r w:rsidRPr="00A62978">
        <w:rPr>
          <w:rFonts w:ascii="Times New Roman" w:hAnsi="Times New Roman" w:cs="Times New Roman"/>
          <w:i/>
          <w:iCs/>
          <w:noProof/>
        </w:rPr>
        <w:t>Journal of Public Health Management and Practice</w:t>
      </w:r>
      <w:r w:rsidRPr="00A62978">
        <w:rPr>
          <w:rFonts w:ascii="Times New Roman" w:hAnsi="Times New Roman" w:cs="Times New Roman"/>
          <w:noProof/>
        </w:rPr>
        <w:t xml:space="preserve">, </w:t>
      </w:r>
      <w:r w:rsidRPr="00A62978">
        <w:rPr>
          <w:rFonts w:ascii="Times New Roman" w:hAnsi="Times New Roman" w:cs="Times New Roman"/>
          <w:i/>
          <w:iCs/>
          <w:noProof/>
        </w:rPr>
        <w:t>27</w:t>
      </w:r>
      <w:r w:rsidRPr="00A62978">
        <w:rPr>
          <w:rFonts w:ascii="Times New Roman" w:hAnsi="Times New Roman" w:cs="Times New Roman"/>
          <w:noProof/>
        </w:rPr>
        <w:t>, S46–S56. https://doi.org/10.1097/PHH.0000000000001263</w:t>
      </w:r>
    </w:p>
    <w:p w14:paraId="2502680A"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Chen, S. I., Norman, B. A., Rajgopal, J., Assi, T. M., Lee, B. Y., &amp; Brown, S. T. (2014). A planning model for the WHO-EPI vaccine distribution network in developing countries. </w:t>
      </w:r>
      <w:r w:rsidRPr="00A62978">
        <w:rPr>
          <w:rFonts w:ascii="Times New Roman" w:hAnsi="Times New Roman" w:cs="Times New Roman"/>
          <w:i/>
          <w:iCs/>
          <w:noProof/>
        </w:rPr>
        <w:t>IIE Transactions (Institute of Industrial Engineers)</w:t>
      </w:r>
      <w:r w:rsidRPr="00A62978">
        <w:rPr>
          <w:rFonts w:ascii="Times New Roman" w:hAnsi="Times New Roman" w:cs="Times New Roman"/>
          <w:noProof/>
        </w:rPr>
        <w:t xml:space="preserve">, </w:t>
      </w:r>
      <w:r w:rsidRPr="00A62978">
        <w:rPr>
          <w:rFonts w:ascii="Times New Roman" w:hAnsi="Times New Roman" w:cs="Times New Roman"/>
          <w:i/>
          <w:iCs/>
          <w:noProof/>
        </w:rPr>
        <w:t>46</w:t>
      </w:r>
      <w:r w:rsidRPr="00A62978">
        <w:rPr>
          <w:rFonts w:ascii="Times New Roman" w:hAnsi="Times New Roman" w:cs="Times New Roman"/>
          <w:noProof/>
        </w:rPr>
        <w:t>(8), 853–865. https://doi.org/10.1080/0740817X.2013.813094</w:t>
      </w:r>
    </w:p>
    <w:p w14:paraId="685E1615"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i/>
          <w:iCs/>
          <w:noProof/>
        </w:rPr>
        <w:t>County Population by Characteristics: 2020-2021</w:t>
      </w:r>
      <w:r w:rsidRPr="00A62978">
        <w:rPr>
          <w:rFonts w:ascii="Times New Roman" w:hAnsi="Times New Roman" w:cs="Times New Roman"/>
          <w:noProof/>
        </w:rPr>
        <w:t>. (2021). United States Census Bureau. https://www.census.gov/data/datasets/time-series/demo/popest/2020s-counties-detail.html</w:t>
      </w:r>
    </w:p>
    <w:p w14:paraId="7C820448"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Dastgoshade, S., Shafiee, M., Klibi, W., &amp; Shishebori, D. (2022). Social equity-based distribution networks design for the COVID-19 vaccine. </w:t>
      </w:r>
      <w:r w:rsidRPr="00A62978">
        <w:rPr>
          <w:rFonts w:ascii="Times New Roman" w:hAnsi="Times New Roman" w:cs="Times New Roman"/>
          <w:i/>
          <w:iCs/>
          <w:noProof/>
        </w:rPr>
        <w:t>International Journal of Production Economics</w:t>
      </w:r>
      <w:r w:rsidRPr="00A62978">
        <w:rPr>
          <w:rFonts w:ascii="Times New Roman" w:hAnsi="Times New Roman" w:cs="Times New Roman"/>
          <w:noProof/>
        </w:rPr>
        <w:t xml:space="preserve">, </w:t>
      </w:r>
      <w:r w:rsidRPr="00A62978">
        <w:rPr>
          <w:rFonts w:ascii="Times New Roman" w:hAnsi="Times New Roman" w:cs="Times New Roman"/>
          <w:i/>
          <w:iCs/>
          <w:noProof/>
        </w:rPr>
        <w:t>250</w:t>
      </w:r>
      <w:r w:rsidRPr="00A62978">
        <w:rPr>
          <w:rFonts w:ascii="Times New Roman" w:hAnsi="Times New Roman" w:cs="Times New Roman"/>
          <w:noProof/>
        </w:rPr>
        <w:t>(June), 108684. https://doi.org/10.1016/j.ijpe.2022.108684</w:t>
      </w:r>
    </w:p>
    <w:p w14:paraId="22EB4A80"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De Boeck, K., Decouttere, C., &amp; Vandaele, N. (2020). Vaccine distribution chains in low-and middle-income countries: A literature review </w:t>
      </w:r>
      <w:r w:rsidRPr="00A62978">
        <w:rPr>
          <w:rFonts w:ascii="Segoe UI Symbol" w:hAnsi="Segoe UI Symbol" w:cs="Segoe UI Symbol"/>
          <w:noProof/>
        </w:rPr>
        <w:t>✩</w:t>
      </w:r>
      <w:r w:rsidRPr="00A62978">
        <w:rPr>
          <w:rFonts w:ascii="Times New Roman" w:hAnsi="Times New Roman" w:cs="Times New Roman"/>
          <w:noProof/>
        </w:rPr>
        <w:t xml:space="preserve">. </w:t>
      </w:r>
      <w:r w:rsidRPr="00A62978">
        <w:rPr>
          <w:rFonts w:ascii="Times New Roman" w:hAnsi="Times New Roman" w:cs="Times New Roman"/>
          <w:i/>
          <w:iCs/>
          <w:noProof/>
        </w:rPr>
        <w:t>Omega</w:t>
      </w:r>
      <w:r w:rsidRPr="00A62978">
        <w:rPr>
          <w:rFonts w:ascii="Times New Roman" w:hAnsi="Times New Roman" w:cs="Times New Roman"/>
          <w:noProof/>
        </w:rPr>
        <w:t xml:space="preserve">, </w:t>
      </w:r>
      <w:r w:rsidRPr="00A62978">
        <w:rPr>
          <w:rFonts w:ascii="Times New Roman" w:hAnsi="Times New Roman" w:cs="Times New Roman"/>
          <w:i/>
          <w:iCs/>
          <w:noProof/>
        </w:rPr>
        <w:t>97</w:t>
      </w:r>
      <w:r w:rsidRPr="00A62978">
        <w:rPr>
          <w:rFonts w:ascii="Times New Roman" w:hAnsi="Times New Roman" w:cs="Times New Roman"/>
          <w:noProof/>
        </w:rPr>
        <w:t>, 102097. https://doi.org/10.1016/j.omega.2019.08.004</w:t>
      </w:r>
    </w:p>
    <w:p w14:paraId="3795CC38"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Donadio, G., Choudhary, M., Lindemer, E., Pawlowski, C., &amp; Soundararajan, V. (2021). Counties with lower insurance coverage and housing problems are associated with both slower vaccine rollout and higher covid-19 incidence. </w:t>
      </w:r>
      <w:r w:rsidRPr="00A62978">
        <w:rPr>
          <w:rFonts w:ascii="Times New Roman" w:hAnsi="Times New Roman" w:cs="Times New Roman"/>
          <w:i/>
          <w:iCs/>
          <w:noProof/>
        </w:rPr>
        <w:t>Vaccines</w:t>
      </w:r>
      <w:r w:rsidRPr="00A62978">
        <w:rPr>
          <w:rFonts w:ascii="Times New Roman" w:hAnsi="Times New Roman" w:cs="Times New Roman"/>
          <w:noProof/>
        </w:rPr>
        <w:t xml:space="preserve">, </w:t>
      </w:r>
      <w:r w:rsidRPr="00A62978">
        <w:rPr>
          <w:rFonts w:ascii="Times New Roman" w:hAnsi="Times New Roman" w:cs="Times New Roman"/>
          <w:i/>
          <w:iCs/>
          <w:noProof/>
        </w:rPr>
        <w:t>9</w:t>
      </w:r>
      <w:r w:rsidRPr="00A62978">
        <w:rPr>
          <w:rFonts w:ascii="Times New Roman" w:hAnsi="Times New Roman" w:cs="Times New Roman"/>
          <w:noProof/>
        </w:rPr>
        <w:t>(9), 973. https://doi.org/10.3390/VACCINES9090973/S1</w:t>
      </w:r>
    </w:p>
    <w:p w14:paraId="08C85145"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Dooling, K. (2020). </w:t>
      </w:r>
      <w:r w:rsidRPr="00A62978">
        <w:rPr>
          <w:rFonts w:ascii="Times New Roman" w:hAnsi="Times New Roman" w:cs="Times New Roman"/>
          <w:i/>
          <w:iCs/>
          <w:noProof/>
        </w:rPr>
        <w:t>Phased Allocation of COVID-19 Vaccines ACIP COVID-19 Vaccines Work Group</w:t>
      </w:r>
      <w:r w:rsidRPr="00A62978">
        <w:rPr>
          <w:rFonts w:ascii="Times New Roman" w:hAnsi="Times New Roman" w:cs="Times New Roman"/>
          <w:noProof/>
        </w:rPr>
        <w:t>. www.cdc.gov/COVID19</w:t>
      </w:r>
    </w:p>
    <w:p w14:paraId="07E27E24"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Dooling, K., McClung, N., Chamberland, M., Marin, M., Wallace, M., Bell, B. P., Lee, G. M., Talbot, H. K., Romero, J. R., &amp; Oliver, S. E. (2021). </w:t>
      </w:r>
      <w:r w:rsidRPr="00A62978">
        <w:rPr>
          <w:rFonts w:ascii="Times New Roman" w:hAnsi="Times New Roman" w:cs="Times New Roman"/>
          <w:i/>
          <w:iCs/>
          <w:noProof/>
        </w:rPr>
        <w:t>The Advisory Committee on Immunization Practices’ Updated Interim Recommendation for Allocation of COVID-19 Vaccine — United States, December 2020</w:t>
      </w:r>
      <w:r w:rsidRPr="00A62978">
        <w:rPr>
          <w:rFonts w:ascii="Times New Roman" w:hAnsi="Times New Roman" w:cs="Times New Roman"/>
          <w:noProof/>
        </w:rPr>
        <w:t>. Centers for Disease Control and Prevention. https://www.cdc.gov/mmwr/volumes/69/wr/mm695152e2.htm#T1_down</w:t>
      </w:r>
    </w:p>
    <w:p w14:paraId="170DD5CA"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Duijzer, L. E., Van Jaarsveld, W., &amp; Dekker, R. (2018). Literature review: The vaccine supply chain. </w:t>
      </w:r>
      <w:r w:rsidRPr="00A62978">
        <w:rPr>
          <w:rFonts w:ascii="Times New Roman" w:hAnsi="Times New Roman" w:cs="Times New Roman"/>
          <w:i/>
          <w:iCs/>
          <w:noProof/>
        </w:rPr>
        <w:t>European Journal of Operational Research</w:t>
      </w:r>
      <w:r w:rsidRPr="00A62978">
        <w:rPr>
          <w:rFonts w:ascii="Times New Roman" w:hAnsi="Times New Roman" w:cs="Times New Roman"/>
          <w:noProof/>
        </w:rPr>
        <w:t xml:space="preserve">, </w:t>
      </w:r>
      <w:r w:rsidRPr="00A62978">
        <w:rPr>
          <w:rFonts w:ascii="Times New Roman" w:hAnsi="Times New Roman" w:cs="Times New Roman"/>
          <w:i/>
          <w:iCs/>
          <w:noProof/>
        </w:rPr>
        <w:t>268</w:t>
      </w:r>
      <w:r w:rsidRPr="00A62978">
        <w:rPr>
          <w:rFonts w:ascii="Times New Roman" w:hAnsi="Times New Roman" w:cs="Times New Roman"/>
          <w:noProof/>
        </w:rPr>
        <w:t>(1), 174–192.</w:t>
      </w:r>
    </w:p>
    <w:p w14:paraId="08CF6E65"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Enayati, S., &amp; Özaltın, O. Y. (2020). Optimal influenza vaccine distribution with equity. </w:t>
      </w:r>
      <w:r w:rsidRPr="00A62978">
        <w:rPr>
          <w:rFonts w:ascii="Times New Roman" w:hAnsi="Times New Roman" w:cs="Times New Roman"/>
          <w:i/>
          <w:iCs/>
          <w:noProof/>
        </w:rPr>
        <w:t>European Journal of Operational Research</w:t>
      </w:r>
      <w:r w:rsidRPr="00A62978">
        <w:rPr>
          <w:rFonts w:ascii="Times New Roman" w:hAnsi="Times New Roman" w:cs="Times New Roman"/>
          <w:noProof/>
        </w:rPr>
        <w:t xml:space="preserve">, </w:t>
      </w:r>
      <w:r w:rsidRPr="00A62978">
        <w:rPr>
          <w:rFonts w:ascii="Times New Roman" w:hAnsi="Times New Roman" w:cs="Times New Roman"/>
          <w:i/>
          <w:iCs/>
          <w:noProof/>
        </w:rPr>
        <w:t>283</w:t>
      </w:r>
      <w:r w:rsidRPr="00A62978">
        <w:rPr>
          <w:rFonts w:ascii="Times New Roman" w:hAnsi="Times New Roman" w:cs="Times New Roman"/>
          <w:noProof/>
        </w:rPr>
        <w:t>, 714–725. https://doi.org/10.1016/j.ejor.2019.11.025</w:t>
      </w:r>
    </w:p>
    <w:p w14:paraId="18CABB29"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Fadaki, M., Abareshi, A., Far, S. M., &amp; Lee, P. T. W. (2022). Multi-period vaccine allocation model in a pandemic: A case study of COVID-19 in Australia. </w:t>
      </w:r>
      <w:r w:rsidRPr="00A62978">
        <w:rPr>
          <w:rFonts w:ascii="Times New Roman" w:hAnsi="Times New Roman" w:cs="Times New Roman"/>
          <w:i/>
          <w:iCs/>
          <w:noProof/>
        </w:rPr>
        <w:t>Transportation Research Part E: Logistics and Transportation Review</w:t>
      </w:r>
      <w:r w:rsidRPr="00A62978">
        <w:rPr>
          <w:rFonts w:ascii="Times New Roman" w:hAnsi="Times New Roman" w:cs="Times New Roman"/>
          <w:noProof/>
        </w:rPr>
        <w:t xml:space="preserve">, </w:t>
      </w:r>
      <w:r w:rsidRPr="00A62978">
        <w:rPr>
          <w:rFonts w:ascii="Times New Roman" w:hAnsi="Times New Roman" w:cs="Times New Roman"/>
          <w:i/>
          <w:iCs/>
          <w:noProof/>
        </w:rPr>
        <w:t>161</w:t>
      </w:r>
      <w:r w:rsidRPr="00A62978">
        <w:rPr>
          <w:rFonts w:ascii="Times New Roman" w:hAnsi="Times New Roman" w:cs="Times New Roman"/>
          <w:noProof/>
        </w:rPr>
        <w:t>(March), 102689. https://doi.org/10.1016/j.tre.2022.102689</w:t>
      </w:r>
    </w:p>
    <w:p w14:paraId="347ADCA7"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France-Mensah, J., Kothari, C., O’Brien, W. J., &amp; Jiao, J. (2019). Integrating social equity in highway maintenance and rehabilitation programming: A quantitative approach. </w:t>
      </w:r>
      <w:r w:rsidRPr="00A62978">
        <w:rPr>
          <w:rFonts w:ascii="Times New Roman" w:hAnsi="Times New Roman" w:cs="Times New Roman"/>
          <w:i/>
          <w:iCs/>
          <w:noProof/>
        </w:rPr>
        <w:t xml:space="preserve">Sustainable </w:t>
      </w:r>
      <w:r w:rsidRPr="00A62978">
        <w:rPr>
          <w:rFonts w:ascii="Times New Roman" w:hAnsi="Times New Roman" w:cs="Times New Roman"/>
          <w:i/>
          <w:iCs/>
          <w:noProof/>
        </w:rPr>
        <w:lastRenderedPageBreak/>
        <w:t>Cities and Society</w:t>
      </w:r>
      <w:r w:rsidRPr="00A62978">
        <w:rPr>
          <w:rFonts w:ascii="Times New Roman" w:hAnsi="Times New Roman" w:cs="Times New Roman"/>
          <w:noProof/>
        </w:rPr>
        <w:t xml:space="preserve">, </w:t>
      </w:r>
      <w:r w:rsidRPr="00A62978">
        <w:rPr>
          <w:rFonts w:ascii="Times New Roman" w:hAnsi="Times New Roman" w:cs="Times New Roman"/>
          <w:i/>
          <w:iCs/>
          <w:noProof/>
        </w:rPr>
        <w:t>48</w:t>
      </w:r>
      <w:r w:rsidRPr="00A62978">
        <w:rPr>
          <w:rFonts w:ascii="Times New Roman" w:hAnsi="Times New Roman" w:cs="Times New Roman"/>
          <w:noProof/>
        </w:rPr>
        <w:t>(March), 101526. https://doi.org/10.1016/j.scs.2019.101526</w:t>
      </w:r>
    </w:p>
    <w:p w14:paraId="686FB474"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Gini, C. (1997). Concentration and dependency ratios. </w:t>
      </w:r>
      <w:r w:rsidRPr="00A62978">
        <w:rPr>
          <w:rFonts w:ascii="Times New Roman" w:hAnsi="Times New Roman" w:cs="Times New Roman"/>
          <w:i/>
          <w:iCs/>
          <w:noProof/>
        </w:rPr>
        <w:t>Rivista Di Politica Economica</w:t>
      </w:r>
      <w:r w:rsidRPr="00A62978">
        <w:rPr>
          <w:rFonts w:ascii="Times New Roman" w:hAnsi="Times New Roman" w:cs="Times New Roman"/>
          <w:noProof/>
        </w:rPr>
        <w:t xml:space="preserve">, </w:t>
      </w:r>
      <w:r w:rsidRPr="00A62978">
        <w:rPr>
          <w:rFonts w:ascii="Times New Roman" w:hAnsi="Times New Roman" w:cs="Times New Roman"/>
          <w:i/>
          <w:iCs/>
          <w:noProof/>
        </w:rPr>
        <w:t>87</w:t>
      </w:r>
      <w:r w:rsidRPr="00A62978">
        <w:rPr>
          <w:rFonts w:ascii="Times New Roman" w:hAnsi="Times New Roman" w:cs="Times New Roman"/>
          <w:noProof/>
        </w:rPr>
        <w:t>, 769–792.</w:t>
      </w:r>
    </w:p>
    <w:p w14:paraId="206AB26A"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Goodarzian, F., Navaei, A., Ehsani, B., Ghasemi, P., &amp; Muñuzuri, J. (2022). Designing an integrated responsive-green-cold vaccine supply chain network using Internet-of-Things: artificial intelligence-based solutions. </w:t>
      </w:r>
      <w:r w:rsidRPr="00A62978">
        <w:rPr>
          <w:rFonts w:ascii="Times New Roman" w:hAnsi="Times New Roman" w:cs="Times New Roman"/>
          <w:i/>
          <w:iCs/>
          <w:noProof/>
        </w:rPr>
        <w:t>Annals of Operations Research</w:t>
      </w:r>
      <w:r w:rsidRPr="00A62978">
        <w:rPr>
          <w:rFonts w:ascii="Times New Roman" w:hAnsi="Times New Roman" w:cs="Times New Roman"/>
          <w:noProof/>
        </w:rPr>
        <w:t>, 1–45. https://doi.org/10.1007/S10479-022-04713-4/FIGURES/23</w:t>
      </w:r>
    </w:p>
    <w:p w14:paraId="384B520B"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Grayer Annie, Kaufman Ellie, &amp; Murray Sara. (2020). </w:t>
      </w:r>
      <w:r w:rsidRPr="00A62978">
        <w:rPr>
          <w:rFonts w:ascii="Times New Roman" w:hAnsi="Times New Roman" w:cs="Times New Roman"/>
          <w:i/>
          <w:iCs/>
          <w:noProof/>
        </w:rPr>
        <w:t>Covid vaccine distribution: States face tough questions about who should get Covid-19 vaccines after the initial groups | CNN</w:t>
      </w:r>
      <w:r w:rsidRPr="00A62978">
        <w:rPr>
          <w:rFonts w:ascii="Times New Roman" w:hAnsi="Times New Roman" w:cs="Times New Roman"/>
          <w:noProof/>
        </w:rPr>
        <w:t>. CNN. https://www.cnn.com/2020/12/09/health/covid-vaccine-distribution-states/index.html</w:t>
      </w:r>
    </w:p>
    <w:p w14:paraId="3C97390D"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Gutjahr, W. J., &amp; Fischer, S. (2018). Equity and deprivation costs in humanitarian logistics. </w:t>
      </w:r>
      <w:r w:rsidRPr="00A62978">
        <w:rPr>
          <w:rFonts w:ascii="Times New Roman" w:hAnsi="Times New Roman" w:cs="Times New Roman"/>
          <w:i/>
          <w:iCs/>
          <w:noProof/>
        </w:rPr>
        <w:t>European Journal of Operational Research</w:t>
      </w:r>
      <w:r w:rsidRPr="00A62978">
        <w:rPr>
          <w:rFonts w:ascii="Times New Roman" w:hAnsi="Times New Roman" w:cs="Times New Roman"/>
          <w:noProof/>
        </w:rPr>
        <w:t xml:space="preserve">, </w:t>
      </w:r>
      <w:r w:rsidRPr="00A62978">
        <w:rPr>
          <w:rFonts w:ascii="Times New Roman" w:hAnsi="Times New Roman" w:cs="Times New Roman"/>
          <w:i/>
          <w:iCs/>
          <w:noProof/>
        </w:rPr>
        <w:t>270</w:t>
      </w:r>
      <w:r w:rsidRPr="00A62978">
        <w:rPr>
          <w:rFonts w:ascii="Times New Roman" w:hAnsi="Times New Roman" w:cs="Times New Roman"/>
          <w:noProof/>
        </w:rPr>
        <w:t>(1), 185–197.</w:t>
      </w:r>
    </w:p>
    <w:p w14:paraId="10748563"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Huang, K., &amp; Rafiei, R. (2018). </w:t>
      </w:r>
      <w:r w:rsidRPr="00A62978">
        <w:rPr>
          <w:rFonts w:ascii="Times New Roman" w:hAnsi="Times New Roman" w:cs="Times New Roman"/>
          <w:i/>
          <w:iCs/>
          <w:noProof/>
        </w:rPr>
        <w:t>Equitable last mile distribution in emergency response</w:t>
      </w:r>
      <w:r w:rsidRPr="00A62978">
        <w:rPr>
          <w:rFonts w:ascii="Times New Roman" w:hAnsi="Times New Roman" w:cs="Times New Roman"/>
          <w:noProof/>
        </w:rPr>
        <w:t>. https://doi.org/10.1016/j.cie.2018.11.025</w:t>
      </w:r>
    </w:p>
    <w:p w14:paraId="612DDC63"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Jarumaneeroj, P., Dusadeerungsikul, P. O., Chotivanich, T., Nopsopon, T., &amp; Pongpirul, K. (2022). An epidemiology-based model for the operational allocation of COVID-19 vaccines: A case study of Thailand. </w:t>
      </w:r>
      <w:r w:rsidRPr="00A62978">
        <w:rPr>
          <w:rFonts w:ascii="Times New Roman" w:hAnsi="Times New Roman" w:cs="Times New Roman"/>
          <w:i/>
          <w:iCs/>
          <w:noProof/>
        </w:rPr>
        <w:t>Computers &amp; Industrial Engineering</w:t>
      </w:r>
      <w:r w:rsidRPr="00A62978">
        <w:rPr>
          <w:rFonts w:ascii="Times New Roman" w:hAnsi="Times New Roman" w:cs="Times New Roman"/>
          <w:noProof/>
        </w:rPr>
        <w:t xml:space="preserve">, </w:t>
      </w:r>
      <w:r w:rsidRPr="00A62978">
        <w:rPr>
          <w:rFonts w:ascii="Times New Roman" w:hAnsi="Times New Roman" w:cs="Times New Roman"/>
          <w:i/>
          <w:iCs/>
          <w:noProof/>
        </w:rPr>
        <w:t>167</w:t>
      </w:r>
      <w:r w:rsidRPr="00A62978">
        <w:rPr>
          <w:rFonts w:ascii="Times New Roman" w:hAnsi="Times New Roman" w:cs="Times New Roman"/>
          <w:noProof/>
        </w:rPr>
        <w:t>, 108031. https://doi.org/10.1016/J.CIE.2022.108031</w:t>
      </w:r>
    </w:p>
    <w:p w14:paraId="376CAF5C"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Lim, J., Norman, B. A., &amp; Rajgopal, J. (2022). Redesign of vaccine distribution networks. </w:t>
      </w:r>
      <w:r w:rsidRPr="00A62978">
        <w:rPr>
          <w:rFonts w:ascii="Times New Roman" w:hAnsi="Times New Roman" w:cs="Times New Roman"/>
          <w:i/>
          <w:iCs/>
          <w:noProof/>
        </w:rPr>
        <w:t>International Transactions in Operational Research</w:t>
      </w:r>
      <w:r w:rsidRPr="00A62978">
        <w:rPr>
          <w:rFonts w:ascii="Times New Roman" w:hAnsi="Times New Roman" w:cs="Times New Roman"/>
          <w:noProof/>
        </w:rPr>
        <w:t xml:space="preserve">, </w:t>
      </w:r>
      <w:r w:rsidRPr="00A62978">
        <w:rPr>
          <w:rFonts w:ascii="Times New Roman" w:hAnsi="Times New Roman" w:cs="Times New Roman"/>
          <w:i/>
          <w:iCs/>
          <w:noProof/>
        </w:rPr>
        <w:t>29</w:t>
      </w:r>
      <w:r w:rsidRPr="00A62978">
        <w:rPr>
          <w:rFonts w:ascii="Times New Roman" w:hAnsi="Times New Roman" w:cs="Times New Roman"/>
          <w:noProof/>
        </w:rPr>
        <w:t>(1), 200–225. https://doi.org/10.1111/ITOR.12758</w:t>
      </w:r>
    </w:p>
    <w:p w14:paraId="5F903DC1"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Litman, T. (2022). Evaluating Transportation Equity Guidance for Incorporating Distributional Impacts in Transport Planning Evaluating Transportation Equity: Guidance for Incorporating Distributional Impacts in Transport Planning. </w:t>
      </w:r>
      <w:r w:rsidRPr="00A62978">
        <w:rPr>
          <w:rFonts w:ascii="Times New Roman" w:hAnsi="Times New Roman" w:cs="Times New Roman"/>
          <w:i/>
          <w:iCs/>
          <w:noProof/>
        </w:rPr>
        <w:t>ITE Journal</w:t>
      </w:r>
      <w:r w:rsidRPr="00A62978">
        <w:rPr>
          <w:rFonts w:ascii="Times New Roman" w:hAnsi="Times New Roman" w:cs="Times New Roman"/>
          <w:noProof/>
        </w:rPr>
        <w:t xml:space="preserve">, </w:t>
      </w:r>
      <w:r w:rsidRPr="00A62978">
        <w:rPr>
          <w:rFonts w:ascii="Times New Roman" w:hAnsi="Times New Roman" w:cs="Times New Roman"/>
          <w:i/>
          <w:iCs/>
          <w:noProof/>
        </w:rPr>
        <w:t>92</w:t>
      </w:r>
      <w:r w:rsidRPr="00A62978">
        <w:rPr>
          <w:rFonts w:ascii="Times New Roman" w:hAnsi="Times New Roman" w:cs="Times New Roman"/>
          <w:noProof/>
        </w:rPr>
        <w:t>(4). https://vtpi.org/Litman_ITEJ_Equity_Apr2022.pdf.</w:t>
      </w:r>
    </w:p>
    <w:p w14:paraId="3B9DED14"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Lusiantoro, L. (2022). A Locational Analysis Model of the COVID-19 Vaccine Distribution. </w:t>
      </w:r>
      <w:r w:rsidRPr="00A62978">
        <w:rPr>
          <w:rFonts w:ascii="Times New Roman" w:hAnsi="Times New Roman" w:cs="Times New Roman"/>
          <w:i/>
          <w:iCs/>
          <w:noProof/>
        </w:rPr>
        <w:t>Operations and Supply Chain Management: An International Journal</w:t>
      </w:r>
      <w:r w:rsidRPr="00A62978">
        <w:rPr>
          <w:rFonts w:ascii="Times New Roman" w:hAnsi="Times New Roman" w:cs="Times New Roman"/>
          <w:noProof/>
        </w:rPr>
        <w:t xml:space="preserve">, </w:t>
      </w:r>
      <w:r w:rsidRPr="00A62978">
        <w:rPr>
          <w:rFonts w:ascii="Times New Roman" w:hAnsi="Times New Roman" w:cs="Times New Roman"/>
          <w:i/>
          <w:iCs/>
          <w:noProof/>
        </w:rPr>
        <w:t>15</w:t>
      </w:r>
      <w:r w:rsidRPr="00A62978">
        <w:rPr>
          <w:rFonts w:ascii="Times New Roman" w:hAnsi="Times New Roman" w:cs="Times New Roman"/>
          <w:noProof/>
        </w:rPr>
        <w:t>(2), 240–250.</w:t>
      </w:r>
    </w:p>
    <w:p w14:paraId="349CFB8C"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Marsh, M. T., &amp; Schilling, D. A. (1994). Equity measurement in facility location analysis: A review and framework. </w:t>
      </w:r>
      <w:r w:rsidRPr="00A62978">
        <w:rPr>
          <w:rFonts w:ascii="Times New Roman" w:hAnsi="Times New Roman" w:cs="Times New Roman"/>
          <w:i/>
          <w:iCs/>
          <w:noProof/>
        </w:rPr>
        <w:t>European Journal of Operational Research</w:t>
      </w:r>
      <w:r w:rsidRPr="00A62978">
        <w:rPr>
          <w:rFonts w:ascii="Times New Roman" w:hAnsi="Times New Roman" w:cs="Times New Roman"/>
          <w:noProof/>
        </w:rPr>
        <w:t xml:space="preserve">, </w:t>
      </w:r>
      <w:r w:rsidRPr="00A62978">
        <w:rPr>
          <w:rFonts w:ascii="Times New Roman" w:hAnsi="Times New Roman" w:cs="Times New Roman"/>
          <w:i/>
          <w:iCs/>
          <w:noProof/>
        </w:rPr>
        <w:t>74</w:t>
      </w:r>
      <w:r w:rsidRPr="00A62978">
        <w:rPr>
          <w:rFonts w:ascii="Times New Roman" w:hAnsi="Times New Roman" w:cs="Times New Roman"/>
          <w:noProof/>
        </w:rPr>
        <w:t>(1), 1–17.</w:t>
      </w:r>
    </w:p>
    <w:p w14:paraId="056AF730"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Munguía-López, A. del C., &amp; Ponce-Ortega, J. M. (2021). Fair Allocation of Potential COVID-19 Vaccines Using an Optimization-Based Strategy. </w:t>
      </w:r>
      <w:r w:rsidRPr="00A62978">
        <w:rPr>
          <w:rFonts w:ascii="Times New Roman" w:hAnsi="Times New Roman" w:cs="Times New Roman"/>
          <w:i/>
          <w:iCs/>
          <w:noProof/>
        </w:rPr>
        <w:t>Process Integration and Optimization for Sustainability</w:t>
      </w:r>
      <w:r w:rsidRPr="00A62978">
        <w:rPr>
          <w:rFonts w:ascii="Times New Roman" w:hAnsi="Times New Roman" w:cs="Times New Roman"/>
          <w:noProof/>
        </w:rPr>
        <w:t xml:space="preserve">, </w:t>
      </w:r>
      <w:r w:rsidRPr="00A62978">
        <w:rPr>
          <w:rFonts w:ascii="Times New Roman" w:hAnsi="Times New Roman" w:cs="Times New Roman"/>
          <w:i/>
          <w:iCs/>
          <w:noProof/>
        </w:rPr>
        <w:t>5</w:t>
      </w:r>
      <w:r w:rsidRPr="00A62978">
        <w:rPr>
          <w:rFonts w:ascii="Times New Roman" w:hAnsi="Times New Roman" w:cs="Times New Roman"/>
          <w:noProof/>
        </w:rPr>
        <w:t>(1), 3–12. https://doi.org/10.1007/S41660-020-00141-8/FIGURES/7</w:t>
      </w:r>
    </w:p>
    <w:p w14:paraId="7399B14B"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O’hearn, M., Liu, J., Cudhea, F., Micha, R., &amp; Mozaffarian, D. (2021). Coronavirus disease 2019 hospitalizations attributable to cardiometabolic conditions in the united states: A comparative risk assessment analysis. </w:t>
      </w:r>
      <w:r w:rsidRPr="00A62978">
        <w:rPr>
          <w:rFonts w:ascii="Times New Roman" w:hAnsi="Times New Roman" w:cs="Times New Roman"/>
          <w:i/>
          <w:iCs/>
          <w:noProof/>
        </w:rPr>
        <w:t>Journal of the American Heart Association</w:t>
      </w:r>
      <w:r w:rsidRPr="00A62978">
        <w:rPr>
          <w:rFonts w:ascii="Times New Roman" w:hAnsi="Times New Roman" w:cs="Times New Roman"/>
          <w:noProof/>
        </w:rPr>
        <w:t xml:space="preserve">, </w:t>
      </w:r>
      <w:r w:rsidRPr="00A62978">
        <w:rPr>
          <w:rFonts w:ascii="Times New Roman" w:hAnsi="Times New Roman" w:cs="Times New Roman"/>
          <w:i/>
          <w:iCs/>
          <w:noProof/>
        </w:rPr>
        <w:t>10</w:t>
      </w:r>
      <w:r w:rsidRPr="00A62978">
        <w:rPr>
          <w:rFonts w:ascii="Times New Roman" w:hAnsi="Times New Roman" w:cs="Times New Roman"/>
          <w:noProof/>
        </w:rPr>
        <w:t xml:space="preserve">(5), 1–27. </w:t>
      </w:r>
      <w:r w:rsidRPr="00A62978">
        <w:rPr>
          <w:rFonts w:ascii="Times New Roman" w:hAnsi="Times New Roman" w:cs="Times New Roman"/>
          <w:noProof/>
        </w:rPr>
        <w:lastRenderedPageBreak/>
        <w:t>https://doi.org/10.1161/JAHA.120.019259</w:t>
      </w:r>
    </w:p>
    <w:p w14:paraId="6A3387AC"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Ochoa-Barragán, R., Munguía-López, A. del C., &amp; Ponce-Ortega, J. M. (2023). Strategic planning for the optimal distribution of COVID-19 vaccines. </w:t>
      </w:r>
      <w:r w:rsidRPr="00A62978">
        <w:rPr>
          <w:rFonts w:ascii="Times New Roman" w:hAnsi="Times New Roman" w:cs="Times New Roman"/>
          <w:i/>
          <w:iCs/>
          <w:noProof/>
        </w:rPr>
        <w:t>Socio-Economic Planning Sciences</w:t>
      </w:r>
      <w:r w:rsidRPr="00A62978">
        <w:rPr>
          <w:rFonts w:ascii="Times New Roman" w:hAnsi="Times New Roman" w:cs="Times New Roman"/>
          <w:noProof/>
        </w:rPr>
        <w:t xml:space="preserve">, </w:t>
      </w:r>
      <w:r w:rsidRPr="00A62978">
        <w:rPr>
          <w:rFonts w:ascii="Times New Roman" w:hAnsi="Times New Roman" w:cs="Times New Roman"/>
          <w:i/>
          <w:iCs/>
          <w:noProof/>
        </w:rPr>
        <w:t>87</w:t>
      </w:r>
      <w:r w:rsidRPr="00A62978">
        <w:rPr>
          <w:rFonts w:ascii="Times New Roman" w:hAnsi="Times New Roman" w:cs="Times New Roman"/>
          <w:noProof/>
        </w:rPr>
        <w:t>(March). https://doi.org/10.1016/j.seps.2023.101559</w:t>
      </w:r>
    </w:p>
    <w:p w14:paraId="55E8D462"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Ogedegbe, G., Ravenell, J., Adhikari, S., Butler, M., Cook, T., Francois, F., Iturrate, E., Jean-Louis, G., Jones, S. A., Onakomaiya, D., Petrilli, C. M., Pulgarin, C., Regan, S., Reynolds, H., Seixas, A., Volpicelli, F. M., &amp; Horwitz, L. I. (2020). Assessment of Racial/Ethnic Disparities in Hospitalization and Mortality in Patients With COVID-19 in New York City. </w:t>
      </w:r>
      <w:r w:rsidRPr="00A62978">
        <w:rPr>
          <w:rFonts w:ascii="Times New Roman" w:hAnsi="Times New Roman" w:cs="Times New Roman"/>
          <w:i/>
          <w:iCs/>
          <w:noProof/>
        </w:rPr>
        <w:t>JAMA Network Open</w:t>
      </w:r>
      <w:r w:rsidRPr="00A62978">
        <w:rPr>
          <w:rFonts w:ascii="Times New Roman" w:hAnsi="Times New Roman" w:cs="Times New Roman"/>
          <w:noProof/>
        </w:rPr>
        <w:t xml:space="preserve">, </w:t>
      </w:r>
      <w:r w:rsidRPr="00A62978">
        <w:rPr>
          <w:rFonts w:ascii="Times New Roman" w:hAnsi="Times New Roman" w:cs="Times New Roman"/>
          <w:i/>
          <w:iCs/>
          <w:noProof/>
        </w:rPr>
        <w:t>3</w:t>
      </w:r>
      <w:r w:rsidRPr="00A62978">
        <w:rPr>
          <w:rFonts w:ascii="Times New Roman" w:hAnsi="Times New Roman" w:cs="Times New Roman"/>
          <w:noProof/>
        </w:rPr>
        <w:t>(12), e2026881–e2026881. https://doi.org/10.1001/JAMANETWORKOPEN.2020.26881</w:t>
      </w:r>
    </w:p>
    <w:p w14:paraId="602899F4"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Orgut, I. S., Freeman, N., Lewis, D., &amp; Parton, J. (2023). Equitable and Effective Vaccine Access Considering Vaccine Hesitancy and Capacity Constraints. </w:t>
      </w:r>
      <w:r w:rsidRPr="00A62978">
        <w:rPr>
          <w:rFonts w:ascii="Times New Roman" w:hAnsi="Times New Roman" w:cs="Times New Roman"/>
          <w:i/>
          <w:iCs/>
          <w:noProof/>
        </w:rPr>
        <w:t>Omega</w:t>
      </w:r>
      <w:r w:rsidRPr="00A62978">
        <w:rPr>
          <w:rFonts w:ascii="Times New Roman" w:hAnsi="Times New Roman" w:cs="Times New Roman"/>
          <w:noProof/>
        </w:rPr>
        <w:t>, 102898. https://doi.org/10.1016/j.omega.2023.102898</w:t>
      </w:r>
    </w:p>
    <w:p w14:paraId="10A70421"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Rastegar, M., Tavana, M., Meraj, A., &amp; Mina, H. (2021). An inventory-location optimization model for equitable influenza vaccine distribution in developing countries during the COVID-19 pandemic. </w:t>
      </w:r>
      <w:r w:rsidRPr="00A62978">
        <w:rPr>
          <w:rFonts w:ascii="Times New Roman" w:hAnsi="Times New Roman" w:cs="Times New Roman"/>
          <w:i/>
          <w:iCs/>
          <w:noProof/>
        </w:rPr>
        <w:t>Vaccine</w:t>
      </w:r>
      <w:r w:rsidRPr="00A62978">
        <w:rPr>
          <w:rFonts w:ascii="Times New Roman" w:hAnsi="Times New Roman" w:cs="Times New Roman"/>
          <w:noProof/>
        </w:rPr>
        <w:t xml:space="preserve">, </w:t>
      </w:r>
      <w:r w:rsidRPr="00A62978">
        <w:rPr>
          <w:rFonts w:ascii="Times New Roman" w:hAnsi="Times New Roman" w:cs="Times New Roman"/>
          <w:i/>
          <w:iCs/>
          <w:noProof/>
        </w:rPr>
        <w:t>39</w:t>
      </w:r>
      <w:r w:rsidRPr="00A62978">
        <w:rPr>
          <w:rFonts w:ascii="Times New Roman" w:hAnsi="Times New Roman" w:cs="Times New Roman"/>
          <w:noProof/>
        </w:rPr>
        <w:t>(3), 495–504.</w:t>
      </w:r>
    </w:p>
    <w:p w14:paraId="72561B56"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Rawls, J. (1971). A theory of justice. </w:t>
      </w:r>
      <w:r w:rsidRPr="00A62978">
        <w:rPr>
          <w:rFonts w:ascii="Times New Roman" w:hAnsi="Times New Roman" w:cs="Times New Roman"/>
          <w:i/>
          <w:iCs/>
          <w:noProof/>
        </w:rPr>
        <w:t>Cambridge (Mass.)</w:t>
      </w:r>
      <w:r w:rsidRPr="00A62978">
        <w:rPr>
          <w:rFonts w:ascii="Times New Roman" w:hAnsi="Times New Roman" w:cs="Times New Roman"/>
          <w:noProof/>
        </w:rPr>
        <w:t>.</w:t>
      </w:r>
    </w:p>
    <w:p w14:paraId="6C6398AB"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Salmon, D. A., Dudley, M. Z., Glanz, J. M., &amp; Omer, S. B. (2015). Vaccine hesitancy: Causes, consequences, and a call to action. </w:t>
      </w:r>
      <w:r w:rsidRPr="00A62978">
        <w:rPr>
          <w:rFonts w:ascii="Times New Roman" w:hAnsi="Times New Roman" w:cs="Times New Roman"/>
          <w:i/>
          <w:iCs/>
          <w:noProof/>
        </w:rPr>
        <w:t>Vaccine</w:t>
      </w:r>
      <w:r w:rsidRPr="00A62978">
        <w:rPr>
          <w:rFonts w:ascii="Times New Roman" w:hAnsi="Times New Roman" w:cs="Times New Roman"/>
          <w:noProof/>
        </w:rPr>
        <w:t xml:space="preserve">, </w:t>
      </w:r>
      <w:r w:rsidRPr="00A62978">
        <w:rPr>
          <w:rFonts w:ascii="Times New Roman" w:hAnsi="Times New Roman" w:cs="Times New Roman"/>
          <w:i/>
          <w:iCs/>
          <w:noProof/>
        </w:rPr>
        <w:t>33</w:t>
      </w:r>
      <w:r w:rsidRPr="00A62978">
        <w:rPr>
          <w:rFonts w:ascii="Times New Roman" w:hAnsi="Times New Roman" w:cs="Times New Roman"/>
          <w:noProof/>
        </w:rPr>
        <w:t>, D66–D71. https://doi.org/10.1016/j.vaccine.2015.09.035</w:t>
      </w:r>
    </w:p>
    <w:p w14:paraId="43E4BDA6"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Simunaci, L. (2020). </w:t>
      </w:r>
      <w:r w:rsidRPr="00A62978">
        <w:rPr>
          <w:rFonts w:ascii="Times New Roman" w:hAnsi="Times New Roman" w:cs="Times New Roman"/>
          <w:i/>
          <w:iCs/>
          <w:noProof/>
        </w:rPr>
        <w:t>Pro Rata Vaccine Distribution is Fair, Equitable</w:t>
      </w:r>
      <w:r w:rsidRPr="00A62978">
        <w:rPr>
          <w:rFonts w:ascii="Times New Roman" w:hAnsi="Times New Roman" w:cs="Times New Roman"/>
          <w:noProof/>
        </w:rPr>
        <w:t>. Office of the Secretary of Defense Public Affairs. https://www.defense.gov/News/News-Stories/Article/Article/2441698/pro-rata-vaccine-distribution-is-fair-equitable/</w:t>
      </w:r>
    </w:p>
    <w:p w14:paraId="394C67F1"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Tavana, M., Govindan, K., Nasr, A. K., Heidary, M. S., &amp; Mina, H. (2021). A mathematical programming approach for equitable COVID-19 vaccine distribution in developing countries. </w:t>
      </w:r>
      <w:r w:rsidRPr="00A62978">
        <w:rPr>
          <w:rFonts w:ascii="Times New Roman" w:hAnsi="Times New Roman" w:cs="Times New Roman"/>
          <w:i/>
          <w:iCs/>
          <w:noProof/>
        </w:rPr>
        <w:t>Annals of Operations Research</w:t>
      </w:r>
      <w:r w:rsidRPr="00A62978">
        <w:rPr>
          <w:rFonts w:ascii="Times New Roman" w:hAnsi="Times New Roman" w:cs="Times New Roman"/>
          <w:noProof/>
        </w:rPr>
        <w:t>, 1–34. https://doi.org/10.1007/S10479-021-04130-Z/TABLES/26</w:t>
      </w:r>
    </w:p>
    <w:p w14:paraId="433C4BD6"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i/>
          <w:iCs/>
          <w:noProof/>
        </w:rPr>
        <w:t>Vaccine Hesitancy for COVID-19: State, County, and Local Estimates | ASPE</w:t>
      </w:r>
      <w:r w:rsidRPr="00A62978">
        <w:rPr>
          <w:rFonts w:ascii="Times New Roman" w:hAnsi="Times New Roman" w:cs="Times New Roman"/>
          <w:noProof/>
        </w:rPr>
        <w:t>. (2021). Office of the Assistant Secretary for Planning and Evaluation (ASPE). https://aspe.hhs.gov/reports/vaccine-hesitancy-covid-19-state-county-local-estimates</w:t>
      </w:r>
    </w:p>
    <w:p w14:paraId="7B362EEC"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Vahidy, F. S., Nicolas, J. C., Meeks, J. R., Khan, O., Pan, A., Jones, S. L., Masud, F., Sostman, H. D., Phillips, R., Andrieni, J. D., Kash, B. A., &amp; Nasir, K. (2020). Racial and ethnic disparities in SARS-CoV-2 pandemic: analysis of a COVID-19 observational registry for a diverse US metropolitan population. </w:t>
      </w:r>
      <w:r w:rsidRPr="00A62978">
        <w:rPr>
          <w:rFonts w:ascii="Times New Roman" w:hAnsi="Times New Roman" w:cs="Times New Roman"/>
          <w:i/>
          <w:iCs/>
          <w:noProof/>
        </w:rPr>
        <w:t>BMJ Open</w:t>
      </w:r>
      <w:r w:rsidRPr="00A62978">
        <w:rPr>
          <w:rFonts w:ascii="Times New Roman" w:hAnsi="Times New Roman" w:cs="Times New Roman"/>
          <w:noProof/>
        </w:rPr>
        <w:t xml:space="preserve">, </w:t>
      </w:r>
      <w:r w:rsidRPr="00A62978">
        <w:rPr>
          <w:rFonts w:ascii="Times New Roman" w:hAnsi="Times New Roman" w:cs="Times New Roman"/>
          <w:i/>
          <w:iCs/>
          <w:noProof/>
        </w:rPr>
        <w:t>10</w:t>
      </w:r>
      <w:r w:rsidRPr="00A62978">
        <w:rPr>
          <w:rFonts w:ascii="Times New Roman" w:hAnsi="Times New Roman" w:cs="Times New Roman"/>
          <w:noProof/>
        </w:rPr>
        <w:t>(8), e039849. https://doi.org/10.1136/BMJOPEN-2020-039849</w:t>
      </w:r>
    </w:p>
    <w:p w14:paraId="68B3204C"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Wang, X., Jiang, R., &amp; Qi, M. (2023). A robust optimization problem for drone-based equitable </w:t>
      </w:r>
      <w:r w:rsidRPr="00A62978">
        <w:rPr>
          <w:rFonts w:ascii="Times New Roman" w:hAnsi="Times New Roman" w:cs="Times New Roman"/>
          <w:noProof/>
        </w:rPr>
        <w:lastRenderedPageBreak/>
        <w:t xml:space="preserve">pandemic vaccine distribution with uncertain supply. </w:t>
      </w:r>
      <w:r w:rsidRPr="00A62978">
        <w:rPr>
          <w:rFonts w:ascii="Times New Roman" w:hAnsi="Times New Roman" w:cs="Times New Roman"/>
          <w:i/>
          <w:iCs/>
          <w:noProof/>
        </w:rPr>
        <w:t>Omega</w:t>
      </w:r>
      <w:r w:rsidRPr="00A62978">
        <w:rPr>
          <w:rFonts w:ascii="Times New Roman" w:hAnsi="Times New Roman" w:cs="Times New Roman"/>
          <w:noProof/>
        </w:rPr>
        <w:t xml:space="preserve">, </w:t>
      </w:r>
      <w:r w:rsidRPr="00A62978">
        <w:rPr>
          <w:rFonts w:ascii="Times New Roman" w:hAnsi="Times New Roman" w:cs="Times New Roman"/>
          <w:i/>
          <w:iCs/>
          <w:noProof/>
        </w:rPr>
        <w:t>119</w:t>
      </w:r>
      <w:r w:rsidRPr="00A62978">
        <w:rPr>
          <w:rFonts w:ascii="Times New Roman" w:hAnsi="Times New Roman" w:cs="Times New Roman"/>
          <w:noProof/>
        </w:rPr>
        <w:t>. https://doi.org/10.1016/j.omega.2023.102872</w:t>
      </w:r>
    </w:p>
    <w:p w14:paraId="3AEAFA85"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WHO. (2014). </w:t>
      </w:r>
      <w:r w:rsidRPr="00A62978">
        <w:rPr>
          <w:rFonts w:ascii="Times New Roman" w:hAnsi="Times New Roman" w:cs="Times New Roman"/>
          <w:i/>
          <w:iCs/>
          <w:noProof/>
        </w:rPr>
        <w:t>Immunization supply chain and logistics - A neglected but essential system for national immunization programmes.</w:t>
      </w:r>
      <w:r w:rsidRPr="00A62978">
        <w:rPr>
          <w:rFonts w:ascii="Times New Roman" w:hAnsi="Times New Roman" w:cs="Times New Roman"/>
          <w:noProof/>
        </w:rPr>
        <w:t xml:space="preserve"> https://www.who.int/publications/i/item/WHO-IVB-14.05</w:t>
      </w:r>
    </w:p>
    <w:p w14:paraId="6399A445"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Yarmand, H., Ivy, J. S., Denton, B., &amp; Lloyd, A. L. (2014). Optimal two-phase vaccine allocation to geographically different regions under uncertainty. </w:t>
      </w:r>
      <w:r w:rsidRPr="00A62978">
        <w:rPr>
          <w:rFonts w:ascii="Times New Roman" w:hAnsi="Times New Roman" w:cs="Times New Roman"/>
          <w:i/>
          <w:iCs/>
          <w:noProof/>
        </w:rPr>
        <w:t>European Journal of Operational Research</w:t>
      </w:r>
      <w:r w:rsidRPr="00A62978">
        <w:rPr>
          <w:rFonts w:ascii="Times New Roman" w:hAnsi="Times New Roman" w:cs="Times New Roman"/>
          <w:noProof/>
        </w:rPr>
        <w:t xml:space="preserve">, </w:t>
      </w:r>
      <w:r w:rsidRPr="00A62978">
        <w:rPr>
          <w:rFonts w:ascii="Times New Roman" w:hAnsi="Times New Roman" w:cs="Times New Roman"/>
          <w:i/>
          <w:iCs/>
          <w:noProof/>
        </w:rPr>
        <w:t>233</w:t>
      </w:r>
      <w:r w:rsidRPr="00A62978">
        <w:rPr>
          <w:rFonts w:ascii="Times New Roman" w:hAnsi="Times New Roman" w:cs="Times New Roman"/>
          <w:noProof/>
        </w:rPr>
        <w:t>(1), 208–219.</w:t>
      </w:r>
    </w:p>
    <w:p w14:paraId="183FD0BF" w14:textId="77777777" w:rsidR="00A62978" w:rsidRPr="00A62978" w:rsidRDefault="00A62978" w:rsidP="00A62978">
      <w:pPr>
        <w:widowControl w:val="0"/>
        <w:ind w:left="480" w:hanging="480"/>
        <w:rPr>
          <w:rFonts w:ascii="Times New Roman" w:hAnsi="Times New Roman" w:cs="Times New Roman"/>
          <w:noProof/>
        </w:rPr>
      </w:pPr>
      <w:r w:rsidRPr="00A62978">
        <w:rPr>
          <w:rFonts w:ascii="Times New Roman" w:hAnsi="Times New Roman" w:cs="Times New Roman"/>
          <w:noProof/>
        </w:rPr>
        <w:t xml:space="preserve">Yu, L., Zhang, C., Yang, H., &amp; Miao, L. (2018). </w:t>
      </w:r>
      <w:r w:rsidRPr="00A62978">
        <w:rPr>
          <w:rFonts w:ascii="Times New Roman" w:hAnsi="Times New Roman" w:cs="Times New Roman"/>
          <w:i/>
          <w:iCs/>
          <w:noProof/>
        </w:rPr>
        <w:t>Novel methods for resource allocation in humanitarian logistics considering human suffering</w:t>
      </w:r>
      <w:r w:rsidRPr="00A62978">
        <w:rPr>
          <w:rFonts w:ascii="Times New Roman" w:hAnsi="Times New Roman" w:cs="Times New Roman"/>
          <w:noProof/>
        </w:rPr>
        <w:t>. https://doi.org/10.1016/j.cie.2018.03.009</w:t>
      </w:r>
    </w:p>
    <w:p w14:paraId="4E742B12" w14:textId="4D5F3FAE" w:rsidR="004018D6" w:rsidRPr="004018D6" w:rsidRDefault="004018D6" w:rsidP="00860F5E">
      <w:r>
        <w:fldChar w:fldCharType="end"/>
      </w:r>
    </w:p>
    <w:p w14:paraId="4ED9BA19" w14:textId="11C5206F" w:rsidR="004018D6" w:rsidRPr="004018D6" w:rsidRDefault="004018D6" w:rsidP="00860F5E">
      <w:r>
        <w:tab/>
      </w:r>
    </w:p>
    <w:sectPr w:rsidR="004018D6" w:rsidRPr="004018D6">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Ehsan Ahmadi" w:date="2024-05-22T11:23:00Z" w:initials="EA">
    <w:p w14:paraId="7B0B383A" w14:textId="77777777" w:rsidR="00290DC8" w:rsidRDefault="00290DC8" w:rsidP="00290DC8">
      <w:pPr>
        <w:pStyle w:val="CommentText"/>
        <w:ind w:firstLine="0"/>
        <w:jc w:val="left"/>
      </w:pPr>
      <w:r>
        <w:rPr>
          <w:rStyle w:val="CommentReference"/>
        </w:rPr>
        <w:annotationRef/>
      </w:r>
      <w:r>
        <w:t>The math model to formulate Rawl, Social Welfare, and Gini index are draft models. May not be correct and needs to be checked.</w:t>
      </w:r>
    </w:p>
  </w:comment>
  <w:comment w:id="1" w:author="Ehsan Ahmadi" w:date="2024-05-22T11:25:00Z" w:initials="EA">
    <w:p w14:paraId="781E6E8D" w14:textId="77777777" w:rsidR="00290DC8" w:rsidRDefault="00290DC8" w:rsidP="00290DC8">
      <w:pPr>
        <w:pStyle w:val="CommentText"/>
        <w:ind w:firstLine="0"/>
        <w:jc w:val="left"/>
      </w:pPr>
      <w:r>
        <w:rPr>
          <w:rStyle w:val="CommentReference"/>
        </w:rPr>
        <w:annotationRef/>
      </w:r>
      <w:r>
        <w:t>It is non-linear due to the ABS function. Needs to be linearized or reformulated.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0B383A" w15:done="0"/>
  <w15:commentEx w15:paraId="781E6E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36F8A45" w16cex:dateUtc="2024-05-22T15:23:00Z"/>
  <w16cex:commentExtensible w16cex:durableId="420AEABA" w16cex:dateUtc="2024-05-22T15: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0B383A" w16cid:durableId="236F8A45"/>
  <w16cid:commentId w16cid:paraId="781E6E8D" w16cid:durableId="420AEA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5D0A4" w14:textId="77777777" w:rsidR="006604D3" w:rsidRDefault="006604D3" w:rsidP="00860F5E">
      <w:r>
        <w:separator/>
      </w:r>
    </w:p>
  </w:endnote>
  <w:endnote w:type="continuationSeparator" w:id="0">
    <w:p w14:paraId="54F8D0FE" w14:textId="77777777" w:rsidR="006604D3" w:rsidRDefault="006604D3" w:rsidP="00860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4008916"/>
      <w:docPartObj>
        <w:docPartGallery w:val="Page Numbers (Bottom of Page)"/>
        <w:docPartUnique/>
      </w:docPartObj>
    </w:sdtPr>
    <w:sdtEndPr>
      <w:rPr>
        <w:noProof/>
      </w:rPr>
    </w:sdtEndPr>
    <w:sdtContent>
      <w:p w14:paraId="4E1C0CB6" w14:textId="7E50A211" w:rsidR="00F60899" w:rsidRDefault="00F608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F98BB9" w14:textId="77777777" w:rsidR="00F60899" w:rsidRDefault="00F60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32679" w14:textId="77777777" w:rsidR="006604D3" w:rsidRDefault="006604D3" w:rsidP="00860F5E">
      <w:r>
        <w:separator/>
      </w:r>
    </w:p>
  </w:footnote>
  <w:footnote w:type="continuationSeparator" w:id="0">
    <w:p w14:paraId="1C9EE632" w14:textId="77777777" w:rsidR="006604D3" w:rsidRDefault="006604D3" w:rsidP="00860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856F8"/>
    <w:multiLevelType w:val="hybridMultilevel"/>
    <w:tmpl w:val="4D7015B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 w15:restartNumberingAfterBreak="0">
    <w:nsid w:val="1BE25B9C"/>
    <w:multiLevelType w:val="multilevel"/>
    <w:tmpl w:val="8C22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DF1C24"/>
    <w:multiLevelType w:val="hybridMultilevel"/>
    <w:tmpl w:val="83EC81F8"/>
    <w:lvl w:ilvl="0" w:tplc="854C34C0">
      <w:start w:val="1"/>
      <w:numFmt w:val="bullet"/>
      <w:lvlText w:val=""/>
      <w:lvlJc w:val="left"/>
      <w:pPr>
        <w:tabs>
          <w:tab w:val="num" w:pos="720"/>
        </w:tabs>
        <w:ind w:left="720" w:hanging="360"/>
      </w:pPr>
      <w:rPr>
        <w:rFonts w:ascii="Symbol" w:hAnsi="Symbol" w:hint="default"/>
      </w:rPr>
    </w:lvl>
    <w:lvl w:ilvl="1" w:tplc="FB940484" w:tentative="1">
      <w:start w:val="1"/>
      <w:numFmt w:val="bullet"/>
      <w:lvlText w:val=""/>
      <w:lvlJc w:val="left"/>
      <w:pPr>
        <w:tabs>
          <w:tab w:val="num" w:pos="1440"/>
        </w:tabs>
        <w:ind w:left="1440" w:hanging="360"/>
      </w:pPr>
      <w:rPr>
        <w:rFonts w:ascii="Symbol" w:hAnsi="Symbol" w:hint="default"/>
      </w:rPr>
    </w:lvl>
    <w:lvl w:ilvl="2" w:tplc="B516BA1A" w:tentative="1">
      <w:start w:val="1"/>
      <w:numFmt w:val="bullet"/>
      <w:lvlText w:val=""/>
      <w:lvlJc w:val="left"/>
      <w:pPr>
        <w:tabs>
          <w:tab w:val="num" w:pos="2160"/>
        </w:tabs>
        <w:ind w:left="2160" w:hanging="360"/>
      </w:pPr>
      <w:rPr>
        <w:rFonts w:ascii="Symbol" w:hAnsi="Symbol" w:hint="default"/>
      </w:rPr>
    </w:lvl>
    <w:lvl w:ilvl="3" w:tplc="F244D2D8" w:tentative="1">
      <w:start w:val="1"/>
      <w:numFmt w:val="bullet"/>
      <w:lvlText w:val=""/>
      <w:lvlJc w:val="left"/>
      <w:pPr>
        <w:tabs>
          <w:tab w:val="num" w:pos="2880"/>
        </w:tabs>
        <w:ind w:left="2880" w:hanging="360"/>
      </w:pPr>
      <w:rPr>
        <w:rFonts w:ascii="Symbol" w:hAnsi="Symbol" w:hint="default"/>
      </w:rPr>
    </w:lvl>
    <w:lvl w:ilvl="4" w:tplc="3B3849A6" w:tentative="1">
      <w:start w:val="1"/>
      <w:numFmt w:val="bullet"/>
      <w:lvlText w:val=""/>
      <w:lvlJc w:val="left"/>
      <w:pPr>
        <w:tabs>
          <w:tab w:val="num" w:pos="3600"/>
        </w:tabs>
        <w:ind w:left="3600" w:hanging="360"/>
      </w:pPr>
      <w:rPr>
        <w:rFonts w:ascii="Symbol" w:hAnsi="Symbol" w:hint="default"/>
      </w:rPr>
    </w:lvl>
    <w:lvl w:ilvl="5" w:tplc="C8ACF088" w:tentative="1">
      <w:start w:val="1"/>
      <w:numFmt w:val="bullet"/>
      <w:lvlText w:val=""/>
      <w:lvlJc w:val="left"/>
      <w:pPr>
        <w:tabs>
          <w:tab w:val="num" w:pos="4320"/>
        </w:tabs>
        <w:ind w:left="4320" w:hanging="360"/>
      </w:pPr>
      <w:rPr>
        <w:rFonts w:ascii="Symbol" w:hAnsi="Symbol" w:hint="default"/>
      </w:rPr>
    </w:lvl>
    <w:lvl w:ilvl="6" w:tplc="26723C2A" w:tentative="1">
      <w:start w:val="1"/>
      <w:numFmt w:val="bullet"/>
      <w:lvlText w:val=""/>
      <w:lvlJc w:val="left"/>
      <w:pPr>
        <w:tabs>
          <w:tab w:val="num" w:pos="5040"/>
        </w:tabs>
        <w:ind w:left="5040" w:hanging="360"/>
      </w:pPr>
      <w:rPr>
        <w:rFonts w:ascii="Symbol" w:hAnsi="Symbol" w:hint="default"/>
      </w:rPr>
    </w:lvl>
    <w:lvl w:ilvl="7" w:tplc="9D08C120" w:tentative="1">
      <w:start w:val="1"/>
      <w:numFmt w:val="bullet"/>
      <w:lvlText w:val=""/>
      <w:lvlJc w:val="left"/>
      <w:pPr>
        <w:tabs>
          <w:tab w:val="num" w:pos="5760"/>
        </w:tabs>
        <w:ind w:left="5760" w:hanging="360"/>
      </w:pPr>
      <w:rPr>
        <w:rFonts w:ascii="Symbol" w:hAnsi="Symbol" w:hint="default"/>
      </w:rPr>
    </w:lvl>
    <w:lvl w:ilvl="8" w:tplc="58DC6B1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D416514"/>
    <w:multiLevelType w:val="multilevel"/>
    <w:tmpl w:val="0F56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352E6"/>
    <w:multiLevelType w:val="hybridMultilevel"/>
    <w:tmpl w:val="22C2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F7A79"/>
    <w:multiLevelType w:val="hybridMultilevel"/>
    <w:tmpl w:val="BE08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026834"/>
    <w:multiLevelType w:val="hybridMultilevel"/>
    <w:tmpl w:val="6FBA9462"/>
    <w:lvl w:ilvl="0" w:tplc="FFFFFFFF">
      <w:start w:val="1"/>
      <w:numFmt w:val="decimal"/>
      <w:lvlText w:val="%1."/>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8AF5D49"/>
    <w:multiLevelType w:val="multilevel"/>
    <w:tmpl w:val="A31CF15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C123A79"/>
    <w:multiLevelType w:val="hybridMultilevel"/>
    <w:tmpl w:val="0C8A8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3706AF"/>
    <w:multiLevelType w:val="hybridMultilevel"/>
    <w:tmpl w:val="1DE2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0419529">
    <w:abstractNumId w:val="0"/>
  </w:num>
  <w:num w:numId="2" w16cid:durableId="685984407">
    <w:abstractNumId w:val="9"/>
  </w:num>
  <w:num w:numId="3" w16cid:durableId="260527167">
    <w:abstractNumId w:val="6"/>
  </w:num>
  <w:num w:numId="4" w16cid:durableId="1495025835">
    <w:abstractNumId w:val="1"/>
  </w:num>
  <w:num w:numId="5" w16cid:durableId="1485658858">
    <w:abstractNumId w:val="4"/>
  </w:num>
  <w:num w:numId="6" w16cid:durableId="269166180">
    <w:abstractNumId w:val="3"/>
  </w:num>
  <w:num w:numId="7" w16cid:durableId="1439792123">
    <w:abstractNumId w:val="7"/>
  </w:num>
  <w:num w:numId="8" w16cid:durableId="332346036">
    <w:abstractNumId w:val="7"/>
  </w:num>
  <w:num w:numId="9" w16cid:durableId="1636370367">
    <w:abstractNumId w:val="7"/>
  </w:num>
  <w:num w:numId="10" w16cid:durableId="200485395">
    <w:abstractNumId w:val="5"/>
  </w:num>
  <w:num w:numId="11" w16cid:durableId="311837261">
    <w:abstractNumId w:val="7"/>
  </w:num>
  <w:num w:numId="12" w16cid:durableId="1656181189">
    <w:abstractNumId w:val="7"/>
  </w:num>
  <w:num w:numId="13" w16cid:durableId="1554586438">
    <w:abstractNumId w:val="7"/>
  </w:num>
  <w:num w:numId="14" w16cid:durableId="1649167743">
    <w:abstractNumId w:val="7"/>
  </w:num>
  <w:num w:numId="15" w16cid:durableId="252781492">
    <w:abstractNumId w:val="8"/>
  </w:num>
  <w:num w:numId="16" w16cid:durableId="7925965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hsan Ahmadi">
    <w15:presenceInfo w15:providerId="AD" w15:userId="S::ahmadi_e@mercer.edu::0fd9b95f-71a3-4ea8-8faa-b4c76958e4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2MDCzNDYxMTM2sjBW0lEKTi0uzszPAykwNqsFAM2QRNMtAAAA"/>
  </w:docVars>
  <w:rsids>
    <w:rsidRoot w:val="002B1653"/>
    <w:rsid w:val="00003C54"/>
    <w:rsid w:val="00010170"/>
    <w:rsid w:val="00012A57"/>
    <w:rsid w:val="000238C2"/>
    <w:rsid w:val="00033482"/>
    <w:rsid w:val="00035D0F"/>
    <w:rsid w:val="0004635F"/>
    <w:rsid w:val="00050716"/>
    <w:rsid w:val="0006055D"/>
    <w:rsid w:val="00060E28"/>
    <w:rsid w:val="00061D45"/>
    <w:rsid w:val="00062ED2"/>
    <w:rsid w:val="00064B1A"/>
    <w:rsid w:val="00067B9C"/>
    <w:rsid w:val="000710D8"/>
    <w:rsid w:val="00071174"/>
    <w:rsid w:val="000722BC"/>
    <w:rsid w:val="000809DA"/>
    <w:rsid w:val="00081450"/>
    <w:rsid w:val="000862E7"/>
    <w:rsid w:val="000865C4"/>
    <w:rsid w:val="000941B8"/>
    <w:rsid w:val="00094507"/>
    <w:rsid w:val="0009499F"/>
    <w:rsid w:val="0009547A"/>
    <w:rsid w:val="000A59AA"/>
    <w:rsid w:val="000B3D5B"/>
    <w:rsid w:val="000B5E47"/>
    <w:rsid w:val="000C3E41"/>
    <w:rsid w:val="000C42D6"/>
    <w:rsid w:val="000C4360"/>
    <w:rsid w:val="000C65CB"/>
    <w:rsid w:val="000E0652"/>
    <w:rsid w:val="000E1186"/>
    <w:rsid w:val="000E44D9"/>
    <w:rsid w:val="000E636F"/>
    <w:rsid w:val="000E79D7"/>
    <w:rsid w:val="00100EB3"/>
    <w:rsid w:val="00102CC7"/>
    <w:rsid w:val="00106C79"/>
    <w:rsid w:val="00111F10"/>
    <w:rsid w:val="00120A1B"/>
    <w:rsid w:val="00122631"/>
    <w:rsid w:val="0012362D"/>
    <w:rsid w:val="00123BC2"/>
    <w:rsid w:val="00126B32"/>
    <w:rsid w:val="001307EA"/>
    <w:rsid w:val="00142ED2"/>
    <w:rsid w:val="001437D3"/>
    <w:rsid w:val="001507EA"/>
    <w:rsid w:val="00151042"/>
    <w:rsid w:val="0015689A"/>
    <w:rsid w:val="00157553"/>
    <w:rsid w:val="00161B11"/>
    <w:rsid w:val="00170ED4"/>
    <w:rsid w:val="0018007D"/>
    <w:rsid w:val="00180148"/>
    <w:rsid w:val="00182B36"/>
    <w:rsid w:val="001845C0"/>
    <w:rsid w:val="0018747A"/>
    <w:rsid w:val="001947D7"/>
    <w:rsid w:val="00196D76"/>
    <w:rsid w:val="001A06C2"/>
    <w:rsid w:val="001B0B1D"/>
    <w:rsid w:val="001B2497"/>
    <w:rsid w:val="001B26A8"/>
    <w:rsid w:val="001B329E"/>
    <w:rsid w:val="001B4490"/>
    <w:rsid w:val="001B5515"/>
    <w:rsid w:val="001B6FF0"/>
    <w:rsid w:val="001C014B"/>
    <w:rsid w:val="001C06C5"/>
    <w:rsid w:val="001D0086"/>
    <w:rsid w:val="001D2B9B"/>
    <w:rsid w:val="001D5AA9"/>
    <w:rsid w:val="001D5D5B"/>
    <w:rsid w:val="001D7CEB"/>
    <w:rsid w:val="001E3723"/>
    <w:rsid w:val="001E3824"/>
    <w:rsid w:val="001E3E1C"/>
    <w:rsid w:val="001F225D"/>
    <w:rsid w:val="001F2E81"/>
    <w:rsid w:val="001F36CE"/>
    <w:rsid w:val="001F397A"/>
    <w:rsid w:val="001F5796"/>
    <w:rsid w:val="001F7DDB"/>
    <w:rsid w:val="00203B64"/>
    <w:rsid w:val="0020529C"/>
    <w:rsid w:val="00206979"/>
    <w:rsid w:val="00212089"/>
    <w:rsid w:val="002149AD"/>
    <w:rsid w:val="002269FC"/>
    <w:rsid w:val="00231E2C"/>
    <w:rsid w:val="00240954"/>
    <w:rsid w:val="0024415E"/>
    <w:rsid w:val="0026343E"/>
    <w:rsid w:val="0026767D"/>
    <w:rsid w:val="0027169E"/>
    <w:rsid w:val="00276DDC"/>
    <w:rsid w:val="00281E4B"/>
    <w:rsid w:val="002845BF"/>
    <w:rsid w:val="002850F7"/>
    <w:rsid w:val="00290DC8"/>
    <w:rsid w:val="00291CA5"/>
    <w:rsid w:val="0029207B"/>
    <w:rsid w:val="00296630"/>
    <w:rsid w:val="00296BB6"/>
    <w:rsid w:val="002B1653"/>
    <w:rsid w:val="002B69D4"/>
    <w:rsid w:val="002C3D26"/>
    <w:rsid w:val="002C7DEF"/>
    <w:rsid w:val="002D038D"/>
    <w:rsid w:val="002D78C2"/>
    <w:rsid w:val="002E267D"/>
    <w:rsid w:val="002F2C87"/>
    <w:rsid w:val="002F7749"/>
    <w:rsid w:val="00300ACF"/>
    <w:rsid w:val="00302C43"/>
    <w:rsid w:val="003077CD"/>
    <w:rsid w:val="00307A9C"/>
    <w:rsid w:val="00312AC0"/>
    <w:rsid w:val="003161F1"/>
    <w:rsid w:val="00317095"/>
    <w:rsid w:val="003261F7"/>
    <w:rsid w:val="00330BAF"/>
    <w:rsid w:val="00332031"/>
    <w:rsid w:val="00332D09"/>
    <w:rsid w:val="00334FBE"/>
    <w:rsid w:val="00341FA4"/>
    <w:rsid w:val="00347CEF"/>
    <w:rsid w:val="003522BA"/>
    <w:rsid w:val="003539E1"/>
    <w:rsid w:val="00353FBC"/>
    <w:rsid w:val="00356C42"/>
    <w:rsid w:val="00362219"/>
    <w:rsid w:val="00371994"/>
    <w:rsid w:val="003745C7"/>
    <w:rsid w:val="0038432F"/>
    <w:rsid w:val="00384DBD"/>
    <w:rsid w:val="00395212"/>
    <w:rsid w:val="00397894"/>
    <w:rsid w:val="003C06F6"/>
    <w:rsid w:val="003C12F4"/>
    <w:rsid w:val="003C2E2B"/>
    <w:rsid w:val="003C376E"/>
    <w:rsid w:val="003C7C83"/>
    <w:rsid w:val="003D3EC2"/>
    <w:rsid w:val="003E1885"/>
    <w:rsid w:val="003E2809"/>
    <w:rsid w:val="003E5D09"/>
    <w:rsid w:val="003F062C"/>
    <w:rsid w:val="003F107C"/>
    <w:rsid w:val="003F6273"/>
    <w:rsid w:val="004018D6"/>
    <w:rsid w:val="00401D97"/>
    <w:rsid w:val="00403789"/>
    <w:rsid w:val="00413C5A"/>
    <w:rsid w:val="00425CF8"/>
    <w:rsid w:val="004274C8"/>
    <w:rsid w:val="00430867"/>
    <w:rsid w:val="00442F04"/>
    <w:rsid w:val="00445E98"/>
    <w:rsid w:val="00445F24"/>
    <w:rsid w:val="00450013"/>
    <w:rsid w:val="004529F0"/>
    <w:rsid w:val="00452A10"/>
    <w:rsid w:val="0045758A"/>
    <w:rsid w:val="00466219"/>
    <w:rsid w:val="004756A4"/>
    <w:rsid w:val="00477334"/>
    <w:rsid w:val="00483CE4"/>
    <w:rsid w:val="004854AD"/>
    <w:rsid w:val="00490EF1"/>
    <w:rsid w:val="004927C1"/>
    <w:rsid w:val="004944A4"/>
    <w:rsid w:val="00497DB1"/>
    <w:rsid w:val="004A3EE6"/>
    <w:rsid w:val="004B38E5"/>
    <w:rsid w:val="004B3B9E"/>
    <w:rsid w:val="004C72AB"/>
    <w:rsid w:val="004D510A"/>
    <w:rsid w:val="004D588D"/>
    <w:rsid w:val="004E2271"/>
    <w:rsid w:val="004E42C9"/>
    <w:rsid w:val="004F6FA4"/>
    <w:rsid w:val="004F7133"/>
    <w:rsid w:val="00500A5A"/>
    <w:rsid w:val="00501857"/>
    <w:rsid w:val="0050374B"/>
    <w:rsid w:val="005059F5"/>
    <w:rsid w:val="00510DA7"/>
    <w:rsid w:val="00515AF1"/>
    <w:rsid w:val="00515BA5"/>
    <w:rsid w:val="00516818"/>
    <w:rsid w:val="00517DC3"/>
    <w:rsid w:val="005200CB"/>
    <w:rsid w:val="00526D53"/>
    <w:rsid w:val="00530683"/>
    <w:rsid w:val="0053276D"/>
    <w:rsid w:val="00532A46"/>
    <w:rsid w:val="0053586E"/>
    <w:rsid w:val="005418B0"/>
    <w:rsid w:val="00542AE6"/>
    <w:rsid w:val="005434E0"/>
    <w:rsid w:val="00544BEF"/>
    <w:rsid w:val="00547ED3"/>
    <w:rsid w:val="00552913"/>
    <w:rsid w:val="00555121"/>
    <w:rsid w:val="00573647"/>
    <w:rsid w:val="005824D6"/>
    <w:rsid w:val="00593AFF"/>
    <w:rsid w:val="005A0246"/>
    <w:rsid w:val="005A11D1"/>
    <w:rsid w:val="005A7AE5"/>
    <w:rsid w:val="005B0A7F"/>
    <w:rsid w:val="005B2684"/>
    <w:rsid w:val="005B4CB4"/>
    <w:rsid w:val="005B7617"/>
    <w:rsid w:val="005C311F"/>
    <w:rsid w:val="005C4850"/>
    <w:rsid w:val="005C50F7"/>
    <w:rsid w:val="005C670B"/>
    <w:rsid w:val="005D0899"/>
    <w:rsid w:val="005E28E0"/>
    <w:rsid w:val="005E4096"/>
    <w:rsid w:val="005E6801"/>
    <w:rsid w:val="005F0FBA"/>
    <w:rsid w:val="005F25B5"/>
    <w:rsid w:val="005F28AB"/>
    <w:rsid w:val="00612EFF"/>
    <w:rsid w:val="0061664B"/>
    <w:rsid w:val="00622092"/>
    <w:rsid w:val="006230F8"/>
    <w:rsid w:val="00624AE1"/>
    <w:rsid w:val="00626274"/>
    <w:rsid w:val="00630791"/>
    <w:rsid w:val="00636469"/>
    <w:rsid w:val="006458F6"/>
    <w:rsid w:val="00645CC8"/>
    <w:rsid w:val="00647129"/>
    <w:rsid w:val="00647E80"/>
    <w:rsid w:val="0065001A"/>
    <w:rsid w:val="00656B78"/>
    <w:rsid w:val="006604D3"/>
    <w:rsid w:val="00667BF1"/>
    <w:rsid w:val="00676D56"/>
    <w:rsid w:val="00681C33"/>
    <w:rsid w:val="006909D9"/>
    <w:rsid w:val="00696D50"/>
    <w:rsid w:val="006A03B5"/>
    <w:rsid w:val="006A435F"/>
    <w:rsid w:val="006A5C52"/>
    <w:rsid w:val="006A76DC"/>
    <w:rsid w:val="006B1126"/>
    <w:rsid w:val="006B1E22"/>
    <w:rsid w:val="006B37AA"/>
    <w:rsid w:val="006B4B9D"/>
    <w:rsid w:val="006B675F"/>
    <w:rsid w:val="006B71F7"/>
    <w:rsid w:val="006C30F4"/>
    <w:rsid w:val="006C72BF"/>
    <w:rsid w:val="006D2479"/>
    <w:rsid w:val="006D3949"/>
    <w:rsid w:val="006E30C5"/>
    <w:rsid w:val="006E418C"/>
    <w:rsid w:val="006E47D4"/>
    <w:rsid w:val="006E78F0"/>
    <w:rsid w:val="006F21ED"/>
    <w:rsid w:val="00701B7E"/>
    <w:rsid w:val="0070208E"/>
    <w:rsid w:val="007020F1"/>
    <w:rsid w:val="007041C5"/>
    <w:rsid w:val="00704377"/>
    <w:rsid w:val="007050C4"/>
    <w:rsid w:val="0070783E"/>
    <w:rsid w:val="007108F9"/>
    <w:rsid w:val="00711899"/>
    <w:rsid w:val="00716CDE"/>
    <w:rsid w:val="00721295"/>
    <w:rsid w:val="0072207E"/>
    <w:rsid w:val="00726890"/>
    <w:rsid w:val="0074056B"/>
    <w:rsid w:val="00740639"/>
    <w:rsid w:val="007437D8"/>
    <w:rsid w:val="00744E55"/>
    <w:rsid w:val="00754FD2"/>
    <w:rsid w:val="00757E76"/>
    <w:rsid w:val="00763309"/>
    <w:rsid w:val="0076380D"/>
    <w:rsid w:val="00770B3C"/>
    <w:rsid w:val="007741A4"/>
    <w:rsid w:val="0077478C"/>
    <w:rsid w:val="0077703D"/>
    <w:rsid w:val="00781352"/>
    <w:rsid w:val="00781435"/>
    <w:rsid w:val="007849A4"/>
    <w:rsid w:val="007855DA"/>
    <w:rsid w:val="00787197"/>
    <w:rsid w:val="00787BCE"/>
    <w:rsid w:val="00792CD8"/>
    <w:rsid w:val="007A0EAA"/>
    <w:rsid w:val="007A3DD0"/>
    <w:rsid w:val="007B1365"/>
    <w:rsid w:val="007B5AB9"/>
    <w:rsid w:val="007B5C9F"/>
    <w:rsid w:val="007C3A80"/>
    <w:rsid w:val="007D19F4"/>
    <w:rsid w:val="007E41CB"/>
    <w:rsid w:val="007E435B"/>
    <w:rsid w:val="007F0B7E"/>
    <w:rsid w:val="007F24E2"/>
    <w:rsid w:val="008015DC"/>
    <w:rsid w:val="008024FB"/>
    <w:rsid w:val="00803FF7"/>
    <w:rsid w:val="00807BFE"/>
    <w:rsid w:val="0081598E"/>
    <w:rsid w:val="008229FE"/>
    <w:rsid w:val="008264FE"/>
    <w:rsid w:val="00830718"/>
    <w:rsid w:val="00830970"/>
    <w:rsid w:val="008333DA"/>
    <w:rsid w:val="00840554"/>
    <w:rsid w:val="00843EFF"/>
    <w:rsid w:val="00853510"/>
    <w:rsid w:val="0085566B"/>
    <w:rsid w:val="00856E64"/>
    <w:rsid w:val="00860F5E"/>
    <w:rsid w:val="00863706"/>
    <w:rsid w:val="00866EFA"/>
    <w:rsid w:val="00867F97"/>
    <w:rsid w:val="008761DB"/>
    <w:rsid w:val="008804B9"/>
    <w:rsid w:val="008849F9"/>
    <w:rsid w:val="00890C82"/>
    <w:rsid w:val="00896128"/>
    <w:rsid w:val="00897481"/>
    <w:rsid w:val="008A3282"/>
    <w:rsid w:val="008A5361"/>
    <w:rsid w:val="008A62BB"/>
    <w:rsid w:val="008B5119"/>
    <w:rsid w:val="008B69E5"/>
    <w:rsid w:val="008C07FE"/>
    <w:rsid w:val="008C3834"/>
    <w:rsid w:val="008C7D49"/>
    <w:rsid w:val="008D2835"/>
    <w:rsid w:val="008D2FE2"/>
    <w:rsid w:val="008D466B"/>
    <w:rsid w:val="008D488F"/>
    <w:rsid w:val="008D61E7"/>
    <w:rsid w:val="008D7242"/>
    <w:rsid w:val="008E2396"/>
    <w:rsid w:val="008E3DBE"/>
    <w:rsid w:val="009020FC"/>
    <w:rsid w:val="00903C3D"/>
    <w:rsid w:val="00911351"/>
    <w:rsid w:val="0091233E"/>
    <w:rsid w:val="00912F3D"/>
    <w:rsid w:val="00913B39"/>
    <w:rsid w:val="00915E55"/>
    <w:rsid w:val="009235E3"/>
    <w:rsid w:val="009324EB"/>
    <w:rsid w:val="0093321C"/>
    <w:rsid w:val="0093342A"/>
    <w:rsid w:val="00937C81"/>
    <w:rsid w:val="00946D5F"/>
    <w:rsid w:val="009568A7"/>
    <w:rsid w:val="0096476D"/>
    <w:rsid w:val="00965067"/>
    <w:rsid w:val="00972A25"/>
    <w:rsid w:val="00975813"/>
    <w:rsid w:val="00981EDC"/>
    <w:rsid w:val="00983896"/>
    <w:rsid w:val="00996AFA"/>
    <w:rsid w:val="00996E93"/>
    <w:rsid w:val="009A52C3"/>
    <w:rsid w:val="009B1BF4"/>
    <w:rsid w:val="009C056C"/>
    <w:rsid w:val="009E1073"/>
    <w:rsid w:val="009E1D9C"/>
    <w:rsid w:val="009E6FF9"/>
    <w:rsid w:val="009F4276"/>
    <w:rsid w:val="00A00FBE"/>
    <w:rsid w:val="00A032F9"/>
    <w:rsid w:val="00A04F66"/>
    <w:rsid w:val="00A0525D"/>
    <w:rsid w:val="00A06FAB"/>
    <w:rsid w:val="00A1662E"/>
    <w:rsid w:val="00A206DF"/>
    <w:rsid w:val="00A210BD"/>
    <w:rsid w:val="00A22765"/>
    <w:rsid w:val="00A257E8"/>
    <w:rsid w:val="00A26C47"/>
    <w:rsid w:val="00A36C0D"/>
    <w:rsid w:val="00A42022"/>
    <w:rsid w:val="00A45BC1"/>
    <w:rsid w:val="00A473A1"/>
    <w:rsid w:val="00A5072F"/>
    <w:rsid w:val="00A548F8"/>
    <w:rsid w:val="00A55400"/>
    <w:rsid w:val="00A60CFB"/>
    <w:rsid w:val="00A62978"/>
    <w:rsid w:val="00A654FC"/>
    <w:rsid w:val="00A72956"/>
    <w:rsid w:val="00A73DB2"/>
    <w:rsid w:val="00A73F70"/>
    <w:rsid w:val="00A7453E"/>
    <w:rsid w:val="00A74802"/>
    <w:rsid w:val="00A813C9"/>
    <w:rsid w:val="00A86A9E"/>
    <w:rsid w:val="00A902E2"/>
    <w:rsid w:val="00A92134"/>
    <w:rsid w:val="00A95385"/>
    <w:rsid w:val="00A95FD6"/>
    <w:rsid w:val="00A970A2"/>
    <w:rsid w:val="00AA02D5"/>
    <w:rsid w:val="00AA2096"/>
    <w:rsid w:val="00AA36BF"/>
    <w:rsid w:val="00AA61F7"/>
    <w:rsid w:val="00AA644C"/>
    <w:rsid w:val="00AA6DAE"/>
    <w:rsid w:val="00AB1DDD"/>
    <w:rsid w:val="00AC161A"/>
    <w:rsid w:val="00AC32A9"/>
    <w:rsid w:val="00AC3887"/>
    <w:rsid w:val="00AC4B4C"/>
    <w:rsid w:val="00AD12EB"/>
    <w:rsid w:val="00AD4EB9"/>
    <w:rsid w:val="00AD5649"/>
    <w:rsid w:val="00AD6B3A"/>
    <w:rsid w:val="00AE382D"/>
    <w:rsid w:val="00AF00BC"/>
    <w:rsid w:val="00AF1853"/>
    <w:rsid w:val="00AF2030"/>
    <w:rsid w:val="00AF4085"/>
    <w:rsid w:val="00AF4ECA"/>
    <w:rsid w:val="00AF5E41"/>
    <w:rsid w:val="00AF6195"/>
    <w:rsid w:val="00B00A31"/>
    <w:rsid w:val="00B00B27"/>
    <w:rsid w:val="00B04AEB"/>
    <w:rsid w:val="00B06351"/>
    <w:rsid w:val="00B0757C"/>
    <w:rsid w:val="00B11245"/>
    <w:rsid w:val="00B121E7"/>
    <w:rsid w:val="00B21346"/>
    <w:rsid w:val="00B21B7A"/>
    <w:rsid w:val="00B23B89"/>
    <w:rsid w:val="00B266E7"/>
    <w:rsid w:val="00B30CB5"/>
    <w:rsid w:val="00B33BBE"/>
    <w:rsid w:val="00B375B7"/>
    <w:rsid w:val="00B40AA8"/>
    <w:rsid w:val="00B4590C"/>
    <w:rsid w:val="00B50A4C"/>
    <w:rsid w:val="00B512F9"/>
    <w:rsid w:val="00B5227C"/>
    <w:rsid w:val="00B52EEC"/>
    <w:rsid w:val="00B55D68"/>
    <w:rsid w:val="00B560A3"/>
    <w:rsid w:val="00B56F6B"/>
    <w:rsid w:val="00B61D7D"/>
    <w:rsid w:val="00B65095"/>
    <w:rsid w:val="00B66BC3"/>
    <w:rsid w:val="00B73C7A"/>
    <w:rsid w:val="00B84A25"/>
    <w:rsid w:val="00B855D1"/>
    <w:rsid w:val="00B9219D"/>
    <w:rsid w:val="00B95CFE"/>
    <w:rsid w:val="00BB22C8"/>
    <w:rsid w:val="00BB59EB"/>
    <w:rsid w:val="00BB5DC4"/>
    <w:rsid w:val="00BF1DDF"/>
    <w:rsid w:val="00BF5862"/>
    <w:rsid w:val="00C120AA"/>
    <w:rsid w:val="00C12490"/>
    <w:rsid w:val="00C12C28"/>
    <w:rsid w:val="00C21EB1"/>
    <w:rsid w:val="00C2296B"/>
    <w:rsid w:val="00C250F7"/>
    <w:rsid w:val="00C27FE3"/>
    <w:rsid w:val="00C407F2"/>
    <w:rsid w:val="00C44482"/>
    <w:rsid w:val="00C54D7D"/>
    <w:rsid w:val="00C60FD7"/>
    <w:rsid w:val="00C6158B"/>
    <w:rsid w:val="00C6461A"/>
    <w:rsid w:val="00C81649"/>
    <w:rsid w:val="00C82EFC"/>
    <w:rsid w:val="00C90946"/>
    <w:rsid w:val="00C9136F"/>
    <w:rsid w:val="00C91A8D"/>
    <w:rsid w:val="00C9567D"/>
    <w:rsid w:val="00C96978"/>
    <w:rsid w:val="00CB1082"/>
    <w:rsid w:val="00CB11B5"/>
    <w:rsid w:val="00CB3286"/>
    <w:rsid w:val="00CB4BAA"/>
    <w:rsid w:val="00CB5E30"/>
    <w:rsid w:val="00CB6B61"/>
    <w:rsid w:val="00CC0AA0"/>
    <w:rsid w:val="00CD5D77"/>
    <w:rsid w:val="00CD6074"/>
    <w:rsid w:val="00CD60BB"/>
    <w:rsid w:val="00CD71E2"/>
    <w:rsid w:val="00CE1253"/>
    <w:rsid w:val="00CE37D3"/>
    <w:rsid w:val="00CE7DF8"/>
    <w:rsid w:val="00CF2B0A"/>
    <w:rsid w:val="00CF3405"/>
    <w:rsid w:val="00D02F9E"/>
    <w:rsid w:val="00D03B24"/>
    <w:rsid w:val="00D05C47"/>
    <w:rsid w:val="00D11139"/>
    <w:rsid w:val="00D113CA"/>
    <w:rsid w:val="00D11B1C"/>
    <w:rsid w:val="00D16845"/>
    <w:rsid w:val="00D20599"/>
    <w:rsid w:val="00D22147"/>
    <w:rsid w:val="00D229C9"/>
    <w:rsid w:val="00D260D7"/>
    <w:rsid w:val="00D3149C"/>
    <w:rsid w:val="00D34738"/>
    <w:rsid w:val="00D35628"/>
    <w:rsid w:val="00D35925"/>
    <w:rsid w:val="00D40C9A"/>
    <w:rsid w:val="00D432D7"/>
    <w:rsid w:val="00D46792"/>
    <w:rsid w:val="00D51439"/>
    <w:rsid w:val="00D53A64"/>
    <w:rsid w:val="00D5502F"/>
    <w:rsid w:val="00D56D51"/>
    <w:rsid w:val="00D572E7"/>
    <w:rsid w:val="00D64E0C"/>
    <w:rsid w:val="00D74740"/>
    <w:rsid w:val="00D7791E"/>
    <w:rsid w:val="00D8575D"/>
    <w:rsid w:val="00D96F8B"/>
    <w:rsid w:val="00DA43B0"/>
    <w:rsid w:val="00DA52EA"/>
    <w:rsid w:val="00DA60AF"/>
    <w:rsid w:val="00DB1B78"/>
    <w:rsid w:val="00DB3B14"/>
    <w:rsid w:val="00DB541D"/>
    <w:rsid w:val="00DC0709"/>
    <w:rsid w:val="00DC0975"/>
    <w:rsid w:val="00DC0FC9"/>
    <w:rsid w:val="00DC1FF3"/>
    <w:rsid w:val="00DC2D20"/>
    <w:rsid w:val="00DC3E85"/>
    <w:rsid w:val="00DD3378"/>
    <w:rsid w:val="00DE38B1"/>
    <w:rsid w:val="00DE3B05"/>
    <w:rsid w:val="00DE79F4"/>
    <w:rsid w:val="00DF33FF"/>
    <w:rsid w:val="00E02554"/>
    <w:rsid w:val="00E060F1"/>
    <w:rsid w:val="00E152A9"/>
    <w:rsid w:val="00E202A0"/>
    <w:rsid w:val="00E25522"/>
    <w:rsid w:val="00E357C1"/>
    <w:rsid w:val="00E377FC"/>
    <w:rsid w:val="00E4541D"/>
    <w:rsid w:val="00E46274"/>
    <w:rsid w:val="00E51130"/>
    <w:rsid w:val="00E643FA"/>
    <w:rsid w:val="00E67776"/>
    <w:rsid w:val="00E71DA7"/>
    <w:rsid w:val="00E84F99"/>
    <w:rsid w:val="00E8521D"/>
    <w:rsid w:val="00E905C5"/>
    <w:rsid w:val="00E95396"/>
    <w:rsid w:val="00E972E1"/>
    <w:rsid w:val="00EA1EBC"/>
    <w:rsid w:val="00EA2FB0"/>
    <w:rsid w:val="00EA4AEA"/>
    <w:rsid w:val="00EA509F"/>
    <w:rsid w:val="00EB66C7"/>
    <w:rsid w:val="00EC512F"/>
    <w:rsid w:val="00EC575C"/>
    <w:rsid w:val="00ED2511"/>
    <w:rsid w:val="00EE21B3"/>
    <w:rsid w:val="00EE22C2"/>
    <w:rsid w:val="00EE4769"/>
    <w:rsid w:val="00EE5875"/>
    <w:rsid w:val="00EF485E"/>
    <w:rsid w:val="00F16EF9"/>
    <w:rsid w:val="00F214BF"/>
    <w:rsid w:val="00F21B8C"/>
    <w:rsid w:val="00F23399"/>
    <w:rsid w:val="00F24EF8"/>
    <w:rsid w:val="00F26040"/>
    <w:rsid w:val="00F27DC9"/>
    <w:rsid w:val="00F31944"/>
    <w:rsid w:val="00F32D63"/>
    <w:rsid w:val="00F36F0D"/>
    <w:rsid w:val="00F4008F"/>
    <w:rsid w:val="00F43BBD"/>
    <w:rsid w:val="00F529AB"/>
    <w:rsid w:val="00F5367B"/>
    <w:rsid w:val="00F53D26"/>
    <w:rsid w:val="00F569CA"/>
    <w:rsid w:val="00F60899"/>
    <w:rsid w:val="00F626D0"/>
    <w:rsid w:val="00F6442A"/>
    <w:rsid w:val="00F654C8"/>
    <w:rsid w:val="00F70DD2"/>
    <w:rsid w:val="00F7211D"/>
    <w:rsid w:val="00F776C4"/>
    <w:rsid w:val="00F80F68"/>
    <w:rsid w:val="00F8664E"/>
    <w:rsid w:val="00FB4C29"/>
    <w:rsid w:val="00FB5E67"/>
    <w:rsid w:val="00FB606F"/>
    <w:rsid w:val="00FC4993"/>
    <w:rsid w:val="00FC624F"/>
    <w:rsid w:val="00FC786F"/>
    <w:rsid w:val="00FD6120"/>
    <w:rsid w:val="00FD6250"/>
    <w:rsid w:val="00FD6B16"/>
    <w:rsid w:val="00FE64CE"/>
    <w:rsid w:val="00FE6ED9"/>
    <w:rsid w:val="00FF3A12"/>
    <w:rsid w:val="00FF50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B4535"/>
  <w15:chartTrackingRefBased/>
  <w15:docId w15:val="{E703FCD5-7C2B-40BA-8CD1-0BBF4629F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F5E"/>
    <w:pPr>
      <w:autoSpaceDE w:val="0"/>
      <w:autoSpaceDN w:val="0"/>
      <w:adjustRightInd w:val="0"/>
      <w:spacing w:before="240" w:after="240" w:line="240" w:lineRule="auto"/>
      <w:ind w:firstLine="360"/>
      <w:jc w:val="both"/>
    </w:pPr>
    <w:rPr>
      <w:rFonts w:asciiTheme="majorBidi" w:hAnsiTheme="majorBidi" w:cstheme="majorBidi"/>
      <w:sz w:val="24"/>
      <w:szCs w:val="24"/>
    </w:rPr>
  </w:style>
  <w:style w:type="paragraph" w:styleId="Heading1">
    <w:name w:val="heading 1"/>
    <w:basedOn w:val="ListParagraph"/>
    <w:next w:val="Normal"/>
    <w:link w:val="Heading1Char"/>
    <w:uiPriority w:val="9"/>
    <w:qFormat/>
    <w:rsid w:val="00B95CFE"/>
    <w:pPr>
      <w:numPr>
        <w:numId w:val="7"/>
      </w:numPr>
      <w:spacing w:after="0"/>
      <w:outlineLvl w:val="0"/>
    </w:pPr>
    <w:rPr>
      <w:b/>
      <w:bCs/>
    </w:rPr>
  </w:style>
  <w:style w:type="paragraph" w:styleId="Heading2">
    <w:name w:val="heading 2"/>
    <w:basedOn w:val="Heading1"/>
    <w:next w:val="Normal"/>
    <w:link w:val="Heading2Char"/>
    <w:uiPriority w:val="9"/>
    <w:unhideWhenUsed/>
    <w:qFormat/>
    <w:rsid w:val="00B95CFE"/>
    <w:pPr>
      <w:numPr>
        <w:ilvl w:val="1"/>
      </w:numPr>
      <w:outlineLvl w:val="1"/>
    </w:pPr>
  </w:style>
  <w:style w:type="paragraph" w:styleId="Heading3">
    <w:name w:val="heading 3"/>
    <w:basedOn w:val="Normal"/>
    <w:link w:val="Heading3Char"/>
    <w:uiPriority w:val="9"/>
    <w:qFormat/>
    <w:rsid w:val="001B249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246"/>
    <w:pPr>
      <w:ind w:left="720"/>
      <w:contextualSpacing/>
    </w:pPr>
  </w:style>
  <w:style w:type="paragraph" w:styleId="Header">
    <w:name w:val="header"/>
    <w:basedOn w:val="Normal"/>
    <w:link w:val="HeaderChar"/>
    <w:uiPriority w:val="99"/>
    <w:unhideWhenUsed/>
    <w:rsid w:val="004018D6"/>
    <w:pPr>
      <w:tabs>
        <w:tab w:val="center" w:pos="4680"/>
        <w:tab w:val="right" w:pos="9360"/>
      </w:tabs>
      <w:spacing w:after="0"/>
    </w:pPr>
  </w:style>
  <w:style w:type="character" w:customStyle="1" w:styleId="HeaderChar">
    <w:name w:val="Header Char"/>
    <w:basedOn w:val="DefaultParagraphFont"/>
    <w:link w:val="Header"/>
    <w:uiPriority w:val="99"/>
    <w:rsid w:val="004018D6"/>
  </w:style>
  <w:style w:type="paragraph" w:styleId="Footer">
    <w:name w:val="footer"/>
    <w:basedOn w:val="Normal"/>
    <w:link w:val="FooterChar"/>
    <w:uiPriority w:val="99"/>
    <w:unhideWhenUsed/>
    <w:rsid w:val="004018D6"/>
    <w:pPr>
      <w:tabs>
        <w:tab w:val="center" w:pos="4680"/>
        <w:tab w:val="right" w:pos="9360"/>
      </w:tabs>
      <w:spacing w:after="0"/>
    </w:pPr>
  </w:style>
  <w:style w:type="character" w:customStyle="1" w:styleId="FooterChar">
    <w:name w:val="Footer Char"/>
    <w:basedOn w:val="DefaultParagraphFont"/>
    <w:link w:val="Footer"/>
    <w:uiPriority w:val="99"/>
    <w:rsid w:val="004018D6"/>
  </w:style>
  <w:style w:type="paragraph" w:styleId="Caption">
    <w:name w:val="caption"/>
    <w:basedOn w:val="Normal"/>
    <w:next w:val="Normal"/>
    <w:uiPriority w:val="35"/>
    <w:unhideWhenUsed/>
    <w:qFormat/>
    <w:rsid w:val="00A45BC1"/>
    <w:pPr>
      <w:spacing w:after="200"/>
      <w:jc w:val="center"/>
    </w:pPr>
    <w:rPr>
      <w:color w:val="000000" w:themeColor="text1"/>
    </w:rPr>
  </w:style>
  <w:style w:type="paragraph" w:customStyle="1" w:styleId="Default">
    <w:name w:val="Default"/>
    <w:link w:val="DefaultChar"/>
    <w:rsid w:val="00AD56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7A0E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BB59EB"/>
    <w:rPr>
      <w:color w:val="0000FF"/>
      <w:u w:val="single"/>
    </w:rPr>
  </w:style>
  <w:style w:type="paragraph" w:styleId="NormalWeb">
    <w:name w:val="Normal (Web)"/>
    <w:basedOn w:val="Normal"/>
    <w:uiPriority w:val="99"/>
    <w:unhideWhenUsed/>
    <w:rsid w:val="00DC3E85"/>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1B2497"/>
    <w:rPr>
      <w:rFonts w:ascii="Times New Roman" w:eastAsia="Times New Roman" w:hAnsi="Times New Roman" w:cs="Times New Roman"/>
      <w:b/>
      <w:bCs/>
      <w:sz w:val="27"/>
      <w:szCs w:val="27"/>
    </w:rPr>
  </w:style>
  <w:style w:type="character" w:customStyle="1" w:styleId="anchor-text">
    <w:name w:val="anchor-text"/>
    <w:basedOn w:val="DefaultParagraphFont"/>
    <w:rsid w:val="00D96F8B"/>
  </w:style>
  <w:style w:type="character" w:customStyle="1" w:styleId="mjxassistivemathml">
    <w:name w:val="mjx_assistive_mathml"/>
    <w:basedOn w:val="DefaultParagraphFont"/>
    <w:rsid w:val="003C06F6"/>
  </w:style>
  <w:style w:type="table" w:styleId="TableGrid">
    <w:name w:val="Table Grid"/>
    <w:basedOn w:val="TableNormal"/>
    <w:uiPriority w:val="39"/>
    <w:rsid w:val="00F36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ct-xocs-list-item">
    <w:name w:val="react-xocs-list-item"/>
    <w:basedOn w:val="Normal"/>
    <w:rsid w:val="00965067"/>
    <w:pPr>
      <w:spacing w:before="100" w:beforeAutospacing="1" w:after="100" w:afterAutospacing="1"/>
    </w:pPr>
    <w:rPr>
      <w:rFonts w:ascii="Times New Roman" w:eastAsia="Times New Roman" w:hAnsi="Times New Roman" w:cs="Times New Roman"/>
    </w:rPr>
  </w:style>
  <w:style w:type="character" w:customStyle="1" w:styleId="list-label">
    <w:name w:val="list-label"/>
    <w:basedOn w:val="DefaultParagraphFont"/>
    <w:rsid w:val="00965067"/>
  </w:style>
  <w:style w:type="character" w:styleId="Emphasis">
    <w:name w:val="Emphasis"/>
    <w:basedOn w:val="DefaultParagraphFont"/>
    <w:uiPriority w:val="20"/>
    <w:qFormat/>
    <w:rsid w:val="00965067"/>
    <w:rPr>
      <w:i/>
      <w:iCs/>
    </w:rPr>
  </w:style>
  <w:style w:type="character" w:styleId="Strong">
    <w:name w:val="Strong"/>
    <w:basedOn w:val="DefaultParagraphFont"/>
    <w:uiPriority w:val="22"/>
    <w:qFormat/>
    <w:rsid w:val="002E267D"/>
    <w:rPr>
      <w:b/>
      <w:bCs/>
    </w:rPr>
  </w:style>
  <w:style w:type="character" w:customStyle="1" w:styleId="Heading1Char">
    <w:name w:val="Heading 1 Char"/>
    <w:basedOn w:val="DefaultParagraphFont"/>
    <w:link w:val="Heading1"/>
    <w:uiPriority w:val="9"/>
    <w:rsid w:val="00B95CFE"/>
    <w:rPr>
      <w:rFonts w:asciiTheme="majorBidi" w:hAnsiTheme="majorBidi" w:cstheme="majorBidi"/>
      <w:b/>
      <w:bCs/>
      <w:sz w:val="24"/>
      <w:szCs w:val="24"/>
    </w:rPr>
  </w:style>
  <w:style w:type="character" w:styleId="PlaceholderText">
    <w:name w:val="Placeholder Text"/>
    <w:basedOn w:val="DefaultParagraphFont"/>
    <w:uiPriority w:val="99"/>
    <w:semiHidden/>
    <w:rsid w:val="00AA644C"/>
    <w:rPr>
      <w:color w:val="808080"/>
    </w:rPr>
  </w:style>
  <w:style w:type="character" w:customStyle="1" w:styleId="Heading2Char">
    <w:name w:val="Heading 2 Char"/>
    <w:basedOn w:val="DefaultParagraphFont"/>
    <w:link w:val="Heading2"/>
    <w:uiPriority w:val="9"/>
    <w:rsid w:val="00B95CFE"/>
    <w:rPr>
      <w:rFonts w:asciiTheme="majorBidi" w:hAnsiTheme="majorBidi" w:cstheme="majorBidi"/>
      <w:b/>
      <w:bCs/>
      <w:sz w:val="24"/>
      <w:szCs w:val="24"/>
    </w:rPr>
  </w:style>
  <w:style w:type="character" w:styleId="UnresolvedMention">
    <w:name w:val="Unresolved Mention"/>
    <w:basedOn w:val="DefaultParagraphFont"/>
    <w:uiPriority w:val="99"/>
    <w:semiHidden/>
    <w:unhideWhenUsed/>
    <w:rsid w:val="00716CDE"/>
    <w:rPr>
      <w:color w:val="605E5C"/>
      <w:shd w:val="clear" w:color="auto" w:fill="E1DFDD"/>
    </w:rPr>
  </w:style>
  <w:style w:type="character" w:customStyle="1" w:styleId="ref-lnk">
    <w:name w:val="ref-lnk"/>
    <w:basedOn w:val="DefaultParagraphFont"/>
    <w:rsid w:val="00C120AA"/>
  </w:style>
  <w:style w:type="character" w:customStyle="1" w:styleId="off-screen">
    <w:name w:val="off-screen"/>
    <w:basedOn w:val="DefaultParagraphFont"/>
    <w:rsid w:val="00C120AA"/>
  </w:style>
  <w:style w:type="paragraph" w:styleId="NoSpacing">
    <w:name w:val="No Spacing"/>
    <w:uiPriority w:val="1"/>
    <w:qFormat/>
    <w:rsid w:val="00530683"/>
    <w:pPr>
      <w:autoSpaceDE w:val="0"/>
      <w:autoSpaceDN w:val="0"/>
      <w:adjustRightInd w:val="0"/>
      <w:spacing w:after="0" w:line="240" w:lineRule="auto"/>
      <w:ind w:firstLine="360"/>
    </w:pPr>
    <w:rPr>
      <w:rFonts w:asciiTheme="majorBidi" w:hAnsiTheme="majorBidi" w:cstheme="majorBidi"/>
      <w:sz w:val="24"/>
      <w:szCs w:val="24"/>
    </w:rPr>
  </w:style>
  <w:style w:type="paragraph" w:styleId="Quote">
    <w:name w:val="Quote"/>
    <w:basedOn w:val="NoSpacing"/>
    <w:next w:val="Normal"/>
    <w:link w:val="QuoteChar"/>
    <w:uiPriority w:val="29"/>
    <w:qFormat/>
    <w:rsid w:val="00530683"/>
    <w:pPr>
      <w:ind w:firstLine="0"/>
    </w:pPr>
    <w:rPr>
      <w:rFonts w:ascii="Cambria" w:hAnsi="Cambria" w:cs="Cambria"/>
      <w:color w:val="00B050"/>
      <w:sz w:val="20"/>
      <w:szCs w:val="20"/>
    </w:rPr>
  </w:style>
  <w:style w:type="character" w:customStyle="1" w:styleId="QuoteChar">
    <w:name w:val="Quote Char"/>
    <w:basedOn w:val="DefaultParagraphFont"/>
    <w:link w:val="Quote"/>
    <w:uiPriority w:val="29"/>
    <w:rsid w:val="00530683"/>
    <w:rPr>
      <w:rFonts w:ascii="Cambria" w:hAnsi="Cambria" w:cs="Cambria"/>
      <w:color w:val="00B050"/>
      <w:sz w:val="20"/>
      <w:szCs w:val="20"/>
    </w:rPr>
  </w:style>
  <w:style w:type="paragraph" w:styleId="Title">
    <w:name w:val="Title"/>
    <w:basedOn w:val="Normal"/>
    <w:next w:val="Normal"/>
    <w:link w:val="TitleChar"/>
    <w:uiPriority w:val="10"/>
    <w:qFormat/>
    <w:rsid w:val="00530683"/>
    <w:rPr>
      <w:b/>
      <w:bCs/>
    </w:rPr>
  </w:style>
  <w:style w:type="character" w:customStyle="1" w:styleId="TitleChar">
    <w:name w:val="Title Char"/>
    <w:basedOn w:val="DefaultParagraphFont"/>
    <w:link w:val="Title"/>
    <w:uiPriority w:val="10"/>
    <w:rsid w:val="00530683"/>
    <w:rPr>
      <w:rFonts w:asciiTheme="majorBidi" w:hAnsiTheme="majorBidi" w:cstheme="majorBidi"/>
      <w:b/>
      <w:bCs/>
      <w:sz w:val="24"/>
      <w:szCs w:val="24"/>
    </w:rPr>
  </w:style>
  <w:style w:type="paragraph" w:customStyle="1" w:styleId="Table">
    <w:name w:val="Table"/>
    <w:basedOn w:val="Default"/>
    <w:link w:val="TableChar"/>
    <w:qFormat/>
    <w:rsid w:val="004F6FA4"/>
    <w:rPr>
      <w:rFonts w:asciiTheme="majorBidi" w:hAnsiTheme="majorBidi" w:cstheme="majorBidi"/>
      <w:sz w:val="16"/>
      <w:szCs w:val="16"/>
    </w:rPr>
  </w:style>
  <w:style w:type="character" w:customStyle="1" w:styleId="DefaultChar">
    <w:name w:val="Default Char"/>
    <w:basedOn w:val="DefaultParagraphFont"/>
    <w:link w:val="Default"/>
    <w:rsid w:val="004F6FA4"/>
    <w:rPr>
      <w:rFonts w:ascii="Times New Roman" w:hAnsi="Times New Roman" w:cs="Times New Roman"/>
      <w:color w:val="000000"/>
      <w:sz w:val="24"/>
      <w:szCs w:val="24"/>
    </w:rPr>
  </w:style>
  <w:style w:type="character" w:customStyle="1" w:styleId="TableChar">
    <w:name w:val="Table Char"/>
    <w:basedOn w:val="DefaultChar"/>
    <w:link w:val="Table"/>
    <w:rsid w:val="004F6FA4"/>
    <w:rPr>
      <w:rFonts w:asciiTheme="majorBidi" w:hAnsiTheme="majorBidi" w:cstheme="majorBidi"/>
      <w:color w:val="000000"/>
      <w:sz w:val="16"/>
      <w:szCs w:val="16"/>
    </w:rPr>
  </w:style>
  <w:style w:type="character" w:styleId="FollowedHyperlink">
    <w:name w:val="FollowedHyperlink"/>
    <w:basedOn w:val="DefaultParagraphFont"/>
    <w:uiPriority w:val="99"/>
    <w:semiHidden/>
    <w:unhideWhenUsed/>
    <w:rsid w:val="00D35925"/>
    <w:rPr>
      <w:color w:val="954F72" w:themeColor="followedHyperlink"/>
      <w:u w:val="single"/>
    </w:rPr>
  </w:style>
  <w:style w:type="character" w:styleId="CommentReference">
    <w:name w:val="annotation reference"/>
    <w:basedOn w:val="DefaultParagraphFont"/>
    <w:uiPriority w:val="99"/>
    <w:semiHidden/>
    <w:unhideWhenUsed/>
    <w:rsid w:val="00290DC8"/>
    <w:rPr>
      <w:sz w:val="16"/>
      <w:szCs w:val="16"/>
    </w:rPr>
  </w:style>
  <w:style w:type="paragraph" w:styleId="CommentText">
    <w:name w:val="annotation text"/>
    <w:basedOn w:val="Normal"/>
    <w:link w:val="CommentTextChar"/>
    <w:uiPriority w:val="99"/>
    <w:unhideWhenUsed/>
    <w:rsid w:val="00290DC8"/>
    <w:rPr>
      <w:sz w:val="20"/>
      <w:szCs w:val="20"/>
    </w:rPr>
  </w:style>
  <w:style w:type="character" w:customStyle="1" w:styleId="CommentTextChar">
    <w:name w:val="Comment Text Char"/>
    <w:basedOn w:val="DefaultParagraphFont"/>
    <w:link w:val="CommentText"/>
    <w:uiPriority w:val="99"/>
    <w:rsid w:val="00290DC8"/>
    <w:rPr>
      <w:rFonts w:asciiTheme="majorBidi" w:hAnsiTheme="majorBidi" w:cstheme="majorBidi"/>
      <w:sz w:val="20"/>
      <w:szCs w:val="20"/>
    </w:rPr>
  </w:style>
  <w:style w:type="paragraph" w:styleId="CommentSubject">
    <w:name w:val="annotation subject"/>
    <w:basedOn w:val="CommentText"/>
    <w:next w:val="CommentText"/>
    <w:link w:val="CommentSubjectChar"/>
    <w:uiPriority w:val="99"/>
    <w:semiHidden/>
    <w:unhideWhenUsed/>
    <w:rsid w:val="00290DC8"/>
    <w:rPr>
      <w:b/>
      <w:bCs/>
    </w:rPr>
  </w:style>
  <w:style w:type="character" w:customStyle="1" w:styleId="CommentSubjectChar">
    <w:name w:val="Comment Subject Char"/>
    <w:basedOn w:val="CommentTextChar"/>
    <w:link w:val="CommentSubject"/>
    <w:uiPriority w:val="99"/>
    <w:semiHidden/>
    <w:rsid w:val="00290DC8"/>
    <w:rPr>
      <w:rFonts w:asciiTheme="majorBidi" w:hAnsiTheme="majorBidi" w:cstheme="maj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08187">
      <w:bodyDiv w:val="1"/>
      <w:marLeft w:val="0"/>
      <w:marRight w:val="0"/>
      <w:marTop w:val="0"/>
      <w:marBottom w:val="0"/>
      <w:divBdr>
        <w:top w:val="none" w:sz="0" w:space="0" w:color="auto"/>
        <w:left w:val="none" w:sz="0" w:space="0" w:color="auto"/>
        <w:bottom w:val="none" w:sz="0" w:space="0" w:color="auto"/>
        <w:right w:val="none" w:sz="0" w:space="0" w:color="auto"/>
      </w:divBdr>
    </w:div>
    <w:div w:id="434443821">
      <w:bodyDiv w:val="1"/>
      <w:marLeft w:val="0"/>
      <w:marRight w:val="0"/>
      <w:marTop w:val="0"/>
      <w:marBottom w:val="0"/>
      <w:divBdr>
        <w:top w:val="none" w:sz="0" w:space="0" w:color="auto"/>
        <w:left w:val="none" w:sz="0" w:space="0" w:color="auto"/>
        <w:bottom w:val="none" w:sz="0" w:space="0" w:color="auto"/>
        <w:right w:val="none" w:sz="0" w:space="0" w:color="auto"/>
      </w:divBdr>
    </w:div>
    <w:div w:id="467404827">
      <w:bodyDiv w:val="1"/>
      <w:marLeft w:val="0"/>
      <w:marRight w:val="0"/>
      <w:marTop w:val="0"/>
      <w:marBottom w:val="0"/>
      <w:divBdr>
        <w:top w:val="none" w:sz="0" w:space="0" w:color="auto"/>
        <w:left w:val="none" w:sz="0" w:space="0" w:color="auto"/>
        <w:bottom w:val="none" w:sz="0" w:space="0" w:color="auto"/>
        <w:right w:val="none" w:sz="0" w:space="0" w:color="auto"/>
      </w:divBdr>
    </w:div>
    <w:div w:id="648098667">
      <w:bodyDiv w:val="1"/>
      <w:marLeft w:val="0"/>
      <w:marRight w:val="0"/>
      <w:marTop w:val="0"/>
      <w:marBottom w:val="0"/>
      <w:divBdr>
        <w:top w:val="none" w:sz="0" w:space="0" w:color="auto"/>
        <w:left w:val="none" w:sz="0" w:space="0" w:color="auto"/>
        <w:bottom w:val="none" w:sz="0" w:space="0" w:color="auto"/>
        <w:right w:val="none" w:sz="0" w:space="0" w:color="auto"/>
      </w:divBdr>
    </w:div>
    <w:div w:id="753163722">
      <w:bodyDiv w:val="1"/>
      <w:marLeft w:val="0"/>
      <w:marRight w:val="0"/>
      <w:marTop w:val="0"/>
      <w:marBottom w:val="0"/>
      <w:divBdr>
        <w:top w:val="none" w:sz="0" w:space="0" w:color="auto"/>
        <w:left w:val="none" w:sz="0" w:space="0" w:color="auto"/>
        <w:bottom w:val="none" w:sz="0" w:space="0" w:color="auto"/>
        <w:right w:val="none" w:sz="0" w:space="0" w:color="auto"/>
      </w:divBdr>
    </w:div>
    <w:div w:id="1256478902">
      <w:bodyDiv w:val="1"/>
      <w:marLeft w:val="0"/>
      <w:marRight w:val="0"/>
      <w:marTop w:val="0"/>
      <w:marBottom w:val="0"/>
      <w:divBdr>
        <w:top w:val="none" w:sz="0" w:space="0" w:color="auto"/>
        <w:left w:val="none" w:sz="0" w:space="0" w:color="auto"/>
        <w:bottom w:val="none" w:sz="0" w:space="0" w:color="auto"/>
        <w:right w:val="none" w:sz="0" w:space="0" w:color="auto"/>
      </w:divBdr>
    </w:div>
    <w:div w:id="1477990598">
      <w:bodyDiv w:val="1"/>
      <w:marLeft w:val="0"/>
      <w:marRight w:val="0"/>
      <w:marTop w:val="0"/>
      <w:marBottom w:val="0"/>
      <w:divBdr>
        <w:top w:val="none" w:sz="0" w:space="0" w:color="auto"/>
        <w:left w:val="none" w:sz="0" w:space="0" w:color="auto"/>
        <w:bottom w:val="none" w:sz="0" w:space="0" w:color="auto"/>
        <w:right w:val="none" w:sz="0" w:space="0" w:color="auto"/>
      </w:divBdr>
    </w:div>
    <w:div w:id="1485124783">
      <w:bodyDiv w:val="1"/>
      <w:marLeft w:val="0"/>
      <w:marRight w:val="0"/>
      <w:marTop w:val="0"/>
      <w:marBottom w:val="0"/>
      <w:divBdr>
        <w:top w:val="none" w:sz="0" w:space="0" w:color="auto"/>
        <w:left w:val="none" w:sz="0" w:space="0" w:color="auto"/>
        <w:bottom w:val="none" w:sz="0" w:space="0" w:color="auto"/>
        <w:right w:val="none" w:sz="0" w:space="0" w:color="auto"/>
      </w:divBdr>
      <w:divsChild>
        <w:div w:id="308247132">
          <w:marLeft w:val="547"/>
          <w:marRight w:val="0"/>
          <w:marTop w:val="240"/>
          <w:marBottom w:val="240"/>
          <w:divBdr>
            <w:top w:val="none" w:sz="0" w:space="0" w:color="auto"/>
            <w:left w:val="none" w:sz="0" w:space="0" w:color="auto"/>
            <w:bottom w:val="none" w:sz="0" w:space="0" w:color="auto"/>
            <w:right w:val="none" w:sz="0" w:space="0" w:color="auto"/>
          </w:divBdr>
        </w:div>
      </w:divsChild>
    </w:div>
    <w:div w:id="163089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package" Target="embeddings/Microsoft_Visio_Drawing.vsdx"/><Relationship Id="rId2" Type="http://schemas.openxmlformats.org/officeDocument/2006/relationships/numbering" Target="numbering.xml"/><Relationship Id="rId16" Type="http://schemas.openxmlformats.org/officeDocument/2006/relationships/image" Target="media/image3.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ata.cdc.gov/Case-Surveillance/COVID-19-Case-Surveillance-Public-Use-Data-with-Ge/n8mc-b4w4" TargetMode="Externa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atsdr.cdc.gov/placeandhealth/svi/interactive_ma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E5A4DE-134B-4E29-A4A7-7B231C7BC9C6}">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89708-0EC5-45B4-AC7E-91B864F4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16487</TotalTime>
  <Pages>17</Pages>
  <Words>32817</Words>
  <Characters>187059</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Ehsan Ahmadi</dc:creator>
  <cp:keywords/>
  <dc:description/>
  <cp:lastModifiedBy>Ehsan Ahmadi</cp:lastModifiedBy>
  <cp:revision>407</cp:revision>
  <dcterms:created xsi:type="dcterms:W3CDTF">2023-01-27T13:44:00Z</dcterms:created>
  <dcterms:modified xsi:type="dcterms:W3CDTF">2024-05-22T15:26:00Z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1758d6a5-d19a-3d95-9faa-d9c16a42a7bc</vt:lpwstr>
  </property>
  <property fmtid="{D5CDD505-2E9C-101B-9397-08002B2CF9AE}" pid="24" name="Mendeley Citation Style_1">
    <vt:lpwstr>http://www.zotero.org/styles/apa</vt:lpwstr>
  </property>
</Properties>
</file>